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6"/>
        <w:gridCol w:w="1246"/>
        <w:gridCol w:w="1470"/>
        <w:gridCol w:w="280"/>
        <w:gridCol w:w="806"/>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2F5ABD">
              <w:rPr>
                <w:rFonts w:ascii="Arial" w:hAnsi="Arial" w:cs="Arial"/>
                <w:b/>
                <w:color w:val="0F243E" w:themeColor="text2" w:themeShade="80"/>
              </w:rPr>
              <w:t>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r w:rsidR="00D116C8">
              <w:rPr>
                <w:rFonts w:ascii="Arial" w:hAnsi="Arial" w:cs="Arial"/>
                <w:color w:val="0F243E" w:themeColor="text2" w:themeShade="80"/>
              </w:rPr>
              <w:t>:</w:t>
            </w:r>
          </w:p>
          <w:p w:rsidR="00D116C8" w:rsidRPr="002D3F0D" w:rsidRDefault="00D116C8" w:rsidP="00CC21F3">
            <w:pPr>
              <w:rPr>
                <w:rFonts w:ascii="Arial" w:hAnsi="Arial" w:cs="Arial"/>
                <w:color w:val="0F243E" w:themeColor="text2" w:themeShade="80"/>
              </w:rPr>
            </w:pPr>
            <w:r>
              <w:rPr>
                <w:rFonts w:ascii="Arial" w:hAnsi="Arial" w:cs="Arial"/>
                <w:color w:val="0F243E" w:themeColor="text2" w:themeShade="80"/>
              </w:rPr>
              <w:t>DERECHO PÙBLICO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2F5ABD" w:rsidRPr="00C53FE2" w:rsidRDefault="00F11291" w:rsidP="00CC21F3">
            <w:pPr>
              <w:rPr>
                <w:rFonts w:ascii="Arial" w:hAnsi="Arial" w:cs="Arial"/>
                <w:color w:val="0F243E" w:themeColor="text2" w:themeShade="80"/>
              </w:rPr>
            </w:pPr>
            <w:r>
              <w:rPr>
                <w:rFonts w:ascii="Arial" w:hAnsi="Arial" w:cs="Arial"/>
                <w:color w:val="0F243E" w:themeColor="text2" w:themeShade="80"/>
              </w:rPr>
              <w:t xml:space="preserve">              </w:t>
            </w:r>
            <w:r w:rsidR="002F5ABD">
              <w:rPr>
                <w:rFonts w:ascii="Arial" w:hAnsi="Arial" w:cs="Arial"/>
                <w:color w:val="0F243E" w:themeColor="text2" w:themeShade="80"/>
              </w:rPr>
              <w:t>II</w:t>
            </w:r>
          </w:p>
        </w:tc>
      </w:tr>
      <w:tr w:rsidR="009D3B04" w:rsidRPr="0086312B" w:rsidTr="00CC21F3">
        <w:tc>
          <w:tcPr>
            <w:tcW w:w="9606" w:type="dxa"/>
            <w:gridSpan w:val="7"/>
          </w:tcPr>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2F5ABD">
              <w:rPr>
                <w:rFonts w:ascii="Arial" w:hAnsi="Arial" w:cs="Arial"/>
                <w:b/>
                <w:color w:val="0F243E" w:themeColor="text2" w:themeShade="80"/>
              </w:rPr>
              <w:t>DERECHO ADMINISTRATIVO COLOMBIANO</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116C8">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D116C8">
              <w:t>20234</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D116C8">
              <w:rPr>
                <w:rFonts w:ascii="Arial" w:hAnsi="Arial" w:cs="Arial"/>
                <w:b/>
                <w:color w:val="0F243E" w:themeColor="text2" w:themeShade="80"/>
              </w:rPr>
              <w:t>3</w:t>
            </w:r>
          </w:p>
        </w:tc>
      </w:tr>
      <w:tr w:rsidR="009D3B04" w:rsidRPr="0086312B" w:rsidTr="00CC21F3">
        <w:tc>
          <w:tcPr>
            <w:tcW w:w="4503" w:type="dxa"/>
          </w:tcPr>
          <w:p w:rsidR="009D3B04" w:rsidRDefault="009D3B04" w:rsidP="00F11291">
            <w:pPr>
              <w:rPr>
                <w:rFonts w:ascii="Arial" w:hAnsi="Arial" w:cs="Arial"/>
                <w:b/>
                <w:color w:val="0F243E" w:themeColor="text2" w:themeShade="80"/>
              </w:rPr>
            </w:pPr>
            <w:r>
              <w:rPr>
                <w:rFonts w:ascii="Arial" w:hAnsi="Arial" w:cs="Arial"/>
                <w:b/>
                <w:color w:val="0F243E" w:themeColor="text2" w:themeShade="80"/>
              </w:rPr>
              <w:t>Fecha de Elaboración:</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r w:rsidR="00F11291">
              <w:rPr>
                <w:rFonts w:ascii="Arial" w:hAnsi="Arial" w:cs="Arial"/>
                <w:b/>
                <w:color w:val="0F243E" w:themeColor="text2" w:themeShade="80"/>
              </w:rPr>
              <w:t xml:space="preserve"> 2-2015</w:t>
            </w:r>
          </w:p>
          <w:p w:rsidR="009D3B04" w:rsidRDefault="009D3B04" w:rsidP="00CC21F3">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D46339">
              <w:rPr>
                <w:rFonts w:ascii="Arial" w:hAnsi="Arial" w:cs="Arial"/>
                <w:color w:val="0F243E" w:themeColor="text2" w:themeShade="80"/>
              </w:rPr>
              <w:t xml:space="preserve"> </w:t>
            </w:r>
            <w:r w:rsidR="00F11291">
              <w:rPr>
                <w:rFonts w:ascii="Arial" w:hAnsi="Arial" w:cs="Arial"/>
                <w:color w:val="0F243E" w:themeColor="text2" w:themeShade="80"/>
              </w:rPr>
              <w:t xml:space="preserve">  </w:t>
            </w:r>
            <w:r w:rsidR="00D46339">
              <w:rPr>
                <w:rFonts w:ascii="Arial" w:hAnsi="Arial" w:cs="Arial"/>
                <w:color w:val="0F243E" w:themeColor="text2" w:themeShade="80"/>
              </w:rPr>
              <w:t>5</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D46339">
              <w:rPr>
                <w:rFonts w:ascii="Arial" w:hAnsi="Arial" w:cs="Arial"/>
                <w:color w:val="0F243E" w:themeColor="text2" w:themeShade="80"/>
              </w:rPr>
              <w:t>20</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D46339">
              <w:rPr>
                <w:rFonts w:ascii="Arial" w:hAnsi="Arial" w:cs="Arial"/>
                <w:color w:val="0F243E" w:themeColor="text2" w:themeShade="80"/>
              </w:rPr>
              <w:t xml:space="preserve"> 10</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D46339">
              <w:rPr>
                <w:rFonts w:ascii="Arial" w:hAnsi="Arial" w:cs="Arial"/>
                <w:color w:val="0F243E" w:themeColor="text2" w:themeShade="80"/>
              </w:rPr>
              <w:t>5</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D46339">
              <w:rPr>
                <w:rFonts w:ascii="Arial" w:hAnsi="Arial" w:cs="Arial"/>
                <w:color w:val="0F243E" w:themeColor="text2" w:themeShade="80"/>
              </w:rPr>
              <w:t>10</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D116C8">
              <w:rPr>
                <w:rFonts w:ascii="Arial" w:hAnsi="Arial" w:cs="Arial"/>
                <w:color w:val="0F243E" w:themeColor="text2" w:themeShade="80"/>
              </w:rPr>
              <w:t>5</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D116C8">
              <w:rPr>
                <w:rFonts w:ascii="Arial" w:hAnsi="Arial" w:cs="Arial"/>
                <w:color w:val="0F243E" w:themeColor="text2" w:themeShade="80"/>
              </w:rPr>
              <w:t>20</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D116C8">
              <w:rPr>
                <w:rFonts w:ascii="Arial" w:hAnsi="Arial" w:cs="Arial"/>
                <w:color w:val="0F243E" w:themeColor="text2" w:themeShade="80"/>
              </w:rPr>
              <w:t>80</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071B26" w:rsidRPr="00D46339" w:rsidRDefault="00071B26" w:rsidP="00071B26">
            <w:pPr>
              <w:jc w:val="both"/>
              <w:rPr>
                <w:rFonts w:ascii="Arial" w:hAnsi="Arial" w:cs="Arial"/>
              </w:rPr>
            </w:pPr>
            <w:r w:rsidRPr="00D46339">
              <w:rPr>
                <w:rFonts w:ascii="Arial" w:hAnsi="Arial" w:cs="Arial"/>
              </w:rPr>
              <w:t>La cátedra de Derecho Administrativo General y Colombiano es importante, porque permite a los alumnos conocer una clase de derecho que contiene regulaciones especiales y extrañas en algunos casos al derecho privado y que lleva a formular interrogantes a quien lo estudia, de por qué para algunos eventos la igualdad que prima entre particulares es extraña en algunos casos del derecho administrativo, de por qué la administración tiene prerrogativas en casos específicos de actuación que no se da en el caso de la actuación de particulares. Y así en muchos aspectos de este ordenamiento jurídico.</w:t>
            </w:r>
          </w:p>
          <w:p w:rsidR="00114DDE" w:rsidRDefault="00114DDE" w:rsidP="00071B26">
            <w:pPr>
              <w:shd w:val="clear" w:color="auto" w:fill="FFFFFF"/>
              <w:ind w:firstLine="708"/>
              <w:jc w:val="both"/>
              <w:rPr>
                <w:rFonts w:ascii="Arial" w:hAnsi="Arial" w:cs="Arial"/>
                <w:lang w:eastAsia="es-CO"/>
              </w:rPr>
            </w:pPr>
          </w:p>
          <w:p w:rsidR="00071B26" w:rsidRPr="009046CA" w:rsidRDefault="00071B26" w:rsidP="00071B26">
            <w:pPr>
              <w:shd w:val="clear" w:color="auto" w:fill="FFFFFF"/>
              <w:ind w:firstLine="708"/>
              <w:jc w:val="both"/>
              <w:rPr>
                <w:rFonts w:ascii="Arial" w:hAnsi="Arial" w:cs="Arial"/>
                <w:lang w:eastAsia="es-CO"/>
              </w:rPr>
            </w:pPr>
            <w:r w:rsidRPr="009046CA">
              <w:rPr>
                <w:rFonts w:ascii="Arial" w:hAnsi="Arial" w:cs="Arial"/>
                <w:lang w:eastAsia="es-CO"/>
              </w:rPr>
              <w:lastRenderedPageBreak/>
              <w:t xml:space="preserve">Desde el origen mismo, la jurisdicción de lo contencioso administrativo, ha sido el juez supremo del actuar de quienes tienen a su cargo la Administración. Es indiscutible que dentro de la formación del especialista en Derecho Administrativo, esté contemplado el estudio del Derecho , por cuanto le permite contar con las herramientas básicas para encarar los juicios en los cuales el Estado es parte. En el medio nuestro, es decir el Departamento de Boyacá, encontramos cómo los servidores y funcionarios públicos, en su condición de agentes del Estado, en principio no miden el alcance de las decisiones a su cargo y desbordan los fundamentos legales dentro de los cuales están obligados a actuar, generando perjuicios y daños antijurídicos a los ciudadanos, patrimoniales o extrapatrimoniales; aspecto que se generaliza a nivel nacional, por lo que encontramos congestión en la jurisdicción especializada. </w:t>
            </w:r>
          </w:p>
          <w:p w:rsidR="00071B26" w:rsidRPr="009046CA" w:rsidRDefault="00071B26" w:rsidP="00071B26">
            <w:pPr>
              <w:shd w:val="clear" w:color="auto" w:fill="FFFFFF"/>
              <w:ind w:firstLine="708"/>
              <w:jc w:val="both"/>
              <w:rPr>
                <w:rFonts w:ascii="Arial" w:hAnsi="Arial" w:cs="Arial"/>
                <w:lang w:eastAsia="es-CO"/>
              </w:rPr>
            </w:pPr>
          </w:p>
          <w:p w:rsidR="00071B26" w:rsidRPr="009046CA" w:rsidRDefault="00071B26" w:rsidP="00071B26">
            <w:pPr>
              <w:shd w:val="clear" w:color="auto" w:fill="FFFFFF"/>
              <w:ind w:firstLine="708"/>
              <w:jc w:val="both"/>
              <w:rPr>
                <w:rFonts w:ascii="Arial" w:hAnsi="Arial" w:cs="Arial"/>
                <w:lang w:eastAsia="es-CO"/>
              </w:rPr>
            </w:pPr>
            <w:r w:rsidRPr="009046CA">
              <w:rPr>
                <w:rFonts w:ascii="Arial" w:hAnsi="Arial" w:cs="Arial"/>
                <w:lang w:eastAsia="es-CO"/>
              </w:rPr>
              <w:t xml:space="preserve">No es desconocido que una, es la J.C.A. antes de la Constitución de 1991 y otra, después de la misma: hoy en día, derechos como los fundamentales que se percibían lejanos, aparecen próximos a los ciudadanos y se cuenta con el mecanismo idóneo para reclamarlos. Hoy, </w:t>
            </w:r>
            <w:r w:rsidR="003D4769" w:rsidRPr="009046CA">
              <w:rPr>
                <w:rFonts w:ascii="Arial" w:hAnsi="Arial" w:cs="Arial"/>
                <w:lang w:eastAsia="es-CO"/>
              </w:rPr>
              <w:t>prácticas</w:t>
            </w:r>
            <w:bookmarkStart w:id="0" w:name="_GoBack"/>
            <w:bookmarkEnd w:id="0"/>
            <w:r w:rsidRPr="009046CA">
              <w:rPr>
                <w:rFonts w:ascii="Arial" w:hAnsi="Arial" w:cs="Arial"/>
                <w:lang w:eastAsia="es-CO"/>
              </w:rPr>
              <w:t xml:space="preserve"> como el activísimo judicial,  que parecían alejadas del ordenamiento jurídico, son una constante en la Jurisdicción, a la vanguardia de la Corte Constitucional. Hoy se vislumbra un Juez de lo Contencioso, facultado para encausar la legalidad a través de órdenes que se le dan a la administración (v.g. en acciones populares), sin que ello suponga la vulneración a la tridivisión de poderes públicos (SANTOFIMIO GAMBOA, 2004. p. 25). </w:t>
            </w:r>
          </w:p>
          <w:p w:rsidR="009D3B04" w:rsidRDefault="001D5BBE" w:rsidP="00071B26">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9D3B04" w:rsidRDefault="009D3B04" w:rsidP="00071B26">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071B26" w:rsidRPr="009046CA" w:rsidRDefault="00071B26" w:rsidP="00071B26">
            <w:pPr>
              <w:rPr>
                <w:rFonts w:ascii="Arial" w:hAnsi="Arial" w:cs="Arial"/>
                <w:shd w:val="clear" w:color="auto" w:fill="FFFFFF"/>
              </w:rPr>
            </w:pPr>
            <w:r>
              <w:rPr>
                <w:rFonts w:ascii="Arial" w:hAnsi="Arial" w:cs="Arial"/>
                <w:shd w:val="clear" w:color="auto" w:fill="FFFFFF"/>
              </w:rPr>
              <w:t>. Se pretende e</w:t>
            </w:r>
            <w:r w:rsidRPr="009046CA">
              <w:rPr>
                <w:rFonts w:ascii="Arial" w:hAnsi="Arial" w:cs="Arial"/>
                <w:shd w:val="clear" w:color="auto" w:fill="FFFFFF"/>
              </w:rPr>
              <w:t>studiar las bases y perspectivas teóricas y prácticas que facilitan el entronque el cuerpo jurídico positivo con el Estado Social de Derecho y su evolución con incidencia en el campo del Derecho Procesal.</w:t>
            </w:r>
          </w:p>
          <w:p w:rsidR="00071B26" w:rsidRPr="009046CA" w:rsidRDefault="00071B26" w:rsidP="00071B26">
            <w:pPr>
              <w:rPr>
                <w:rFonts w:ascii="Arial" w:hAnsi="Arial" w:cs="Arial"/>
                <w:shd w:val="clear" w:color="auto" w:fill="FFFFFF"/>
              </w:rPr>
            </w:pPr>
          </w:p>
          <w:p w:rsidR="00071B26" w:rsidRPr="009046CA" w:rsidRDefault="00071B26" w:rsidP="00071B26">
            <w:pPr>
              <w:rPr>
                <w:rFonts w:ascii="Arial" w:hAnsi="Arial" w:cs="Arial"/>
                <w:shd w:val="clear" w:color="auto" w:fill="FFFFFF"/>
              </w:rPr>
            </w:pPr>
            <w:r>
              <w:rPr>
                <w:rFonts w:ascii="Arial" w:hAnsi="Arial" w:cs="Arial"/>
                <w:shd w:val="clear" w:color="auto" w:fill="FFFFFF"/>
              </w:rPr>
              <w:t>•</w:t>
            </w:r>
            <w:r>
              <w:rPr>
                <w:rFonts w:ascii="Arial" w:hAnsi="Arial" w:cs="Arial"/>
                <w:shd w:val="clear" w:color="auto" w:fill="FFFFFF"/>
              </w:rPr>
              <w:tab/>
              <w:t>Se busca d</w:t>
            </w:r>
            <w:r w:rsidRPr="009046CA">
              <w:rPr>
                <w:rFonts w:ascii="Arial" w:hAnsi="Arial" w:cs="Arial"/>
                <w:shd w:val="clear" w:color="auto" w:fill="FFFFFF"/>
              </w:rPr>
              <w:t>eterminar si las modificaciones en materia probatoria establecidas en la Ley 1437 de 2011, evidencian un impacto positivo frente al trámite de los procesos contencioso Administrativos que se adelantan en la J.C.A.</w:t>
            </w:r>
          </w:p>
          <w:p w:rsidR="00071B26" w:rsidRPr="009046CA" w:rsidRDefault="00071B26" w:rsidP="00071B26">
            <w:pPr>
              <w:rPr>
                <w:rFonts w:ascii="Arial" w:hAnsi="Arial" w:cs="Arial"/>
                <w:shd w:val="clear" w:color="auto" w:fill="FFFFFF"/>
              </w:rPr>
            </w:pPr>
          </w:p>
          <w:p w:rsidR="00071B26" w:rsidRPr="009046CA" w:rsidRDefault="00071B26" w:rsidP="00071B26">
            <w:pPr>
              <w:rPr>
                <w:rFonts w:ascii="Arial" w:hAnsi="Arial" w:cs="Arial"/>
                <w:shd w:val="clear" w:color="auto" w:fill="FFFFFF"/>
              </w:rPr>
            </w:pPr>
          </w:p>
          <w:p w:rsidR="00071B26" w:rsidRPr="009046CA" w:rsidRDefault="00071B26" w:rsidP="00071B26">
            <w:pPr>
              <w:rPr>
                <w:rFonts w:ascii="Arial" w:hAnsi="Arial" w:cs="Arial"/>
                <w:shd w:val="clear" w:color="auto" w:fill="FFFFFF"/>
              </w:rPr>
            </w:pPr>
            <w:r w:rsidRPr="009046CA">
              <w:rPr>
                <w:rFonts w:ascii="Arial" w:hAnsi="Arial" w:cs="Arial"/>
                <w:shd w:val="clear" w:color="auto" w:fill="FFFFFF"/>
              </w:rPr>
              <w:t>•</w:t>
            </w:r>
            <w:r w:rsidRPr="009046CA">
              <w:rPr>
                <w:rFonts w:ascii="Arial" w:hAnsi="Arial" w:cs="Arial"/>
                <w:shd w:val="clear" w:color="auto" w:fill="FFFFFF"/>
              </w:rPr>
              <w:tab/>
              <w:t>Determinar el impacto que la estructura del proceso contencioso Administrativo establecida en la Ley 1437 de 2011, pueden generar en materia de descongestión de la Jurisdicción Contenciosa Administrativa.</w:t>
            </w:r>
          </w:p>
          <w:p w:rsidR="00071B26" w:rsidRPr="009046CA" w:rsidRDefault="00071B26" w:rsidP="00071B26">
            <w:pPr>
              <w:rPr>
                <w:rFonts w:ascii="Arial" w:hAnsi="Arial" w:cs="Arial"/>
                <w:shd w:val="clear" w:color="auto" w:fill="FFFFFF"/>
              </w:rPr>
            </w:pPr>
          </w:p>
          <w:p w:rsidR="00071B26" w:rsidRPr="009046CA" w:rsidRDefault="00071B26" w:rsidP="00071B26">
            <w:pPr>
              <w:rPr>
                <w:rFonts w:ascii="Arial" w:hAnsi="Arial" w:cs="Arial"/>
                <w:shd w:val="clear" w:color="auto" w:fill="FFFFFF"/>
              </w:rPr>
            </w:pPr>
            <w:r w:rsidRPr="009046CA">
              <w:rPr>
                <w:rFonts w:ascii="Arial" w:hAnsi="Arial" w:cs="Arial"/>
                <w:shd w:val="clear" w:color="auto" w:fill="FFFFFF"/>
              </w:rPr>
              <w:t>•</w:t>
            </w:r>
            <w:r w:rsidRPr="009046CA">
              <w:rPr>
                <w:rFonts w:ascii="Arial" w:hAnsi="Arial" w:cs="Arial"/>
                <w:shd w:val="clear" w:color="auto" w:fill="FFFFFF"/>
              </w:rPr>
              <w:tab/>
              <w:t>Determinar si la inclusión de medidas cautelares en el proceso contencioso administrativo, responde a la nueva dinámica establecida en la Ley 1437 de 2011, respecto de fortalecer los poderes del Juez Administrativo.</w:t>
            </w:r>
          </w:p>
          <w:p w:rsidR="00071B26" w:rsidRPr="009046CA" w:rsidRDefault="00071B26" w:rsidP="00071B26">
            <w:pPr>
              <w:rPr>
                <w:rFonts w:ascii="Arial" w:hAnsi="Arial" w:cs="Arial"/>
                <w:shd w:val="clear" w:color="auto" w:fill="FFFFFF"/>
              </w:rPr>
            </w:pPr>
          </w:p>
          <w:p w:rsidR="00071B26" w:rsidRPr="00A1258C" w:rsidRDefault="00071B26" w:rsidP="00071B26">
            <w:pPr>
              <w:rPr>
                <w:rFonts w:ascii="Arial" w:hAnsi="Arial" w:cs="Arial"/>
              </w:rPr>
            </w:pPr>
            <w:r w:rsidRPr="009046CA">
              <w:rPr>
                <w:rFonts w:ascii="Arial" w:hAnsi="Arial" w:cs="Arial"/>
                <w:shd w:val="clear" w:color="auto" w:fill="FFFFFF"/>
              </w:rPr>
              <w:t>•</w:t>
            </w:r>
            <w:r w:rsidRPr="009046CA">
              <w:rPr>
                <w:rFonts w:ascii="Arial" w:hAnsi="Arial" w:cs="Arial"/>
                <w:shd w:val="clear" w:color="auto" w:fill="FFFFFF"/>
              </w:rPr>
              <w:tab/>
              <w:t>Determinar si el valor vinculante de las sentencias de unificación del Consejo de Estado establecen  un impacto positivo frente al trámite de los procesos contencioso Administrativos que se adelantan en la J.C.A.</w:t>
            </w:r>
            <w:r w:rsidRPr="00A1258C">
              <w:rPr>
                <w:rFonts w:ascii="Arial" w:hAnsi="Arial" w:cs="Arial"/>
              </w:rPr>
              <w:t xml:space="preserve"> </w:t>
            </w:r>
          </w:p>
          <w:p w:rsidR="001B7672" w:rsidRPr="00503B3A" w:rsidRDefault="001B7672" w:rsidP="007E533F">
            <w:pPr>
              <w:jc w:val="both"/>
              <w:rPr>
                <w:rFonts w:ascii="Arial" w:hAnsi="Arial" w:cs="Arial"/>
                <w:color w:val="C00000"/>
                <w:sz w:val="20"/>
              </w:rPr>
            </w:pP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604B80" w:rsidRPr="00604B80" w:rsidRDefault="00604B80" w:rsidP="00604B80">
            <w:pPr>
              <w:jc w:val="both"/>
              <w:rPr>
                <w:rFonts w:ascii="Arial" w:hAnsi="Arial" w:cs="Arial"/>
              </w:rPr>
            </w:pPr>
          </w:p>
          <w:p w:rsidR="00604B80" w:rsidRPr="00604B80" w:rsidRDefault="00604B80" w:rsidP="00604B80">
            <w:pPr>
              <w:jc w:val="both"/>
              <w:rPr>
                <w:rFonts w:ascii="Arial" w:hAnsi="Arial" w:cs="Arial"/>
              </w:rPr>
            </w:pPr>
            <w:r w:rsidRPr="00604B80">
              <w:rPr>
                <w:rFonts w:ascii="Arial" w:hAnsi="Arial" w:cs="Arial"/>
              </w:rPr>
              <w:t>1.</w:t>
            </w:r>
            <w:r w:rsidRPr="00604B80">
              <w:rPr>
                <w:rFonts w:ascii="Arial" w:hAnsi="Arial" w:cs="Arial"/>
              </w:rPr>
              <w:tab/>
            </w:r>
            <w:r>
              <w:rPr>
                <w:rFonts w:ascii="Arial" w:hAnsi="Arial" w:cs="Arial"/>
              </w:rPr>
              <w:t>El Derecho Admninistrativo</w:t>
            </w:r>
            <w:r w:rsidRPr="00604B80">
              <w:rPr>
                <w:rFonts w:ascii="Arial" w:hAnsi="Arial" w:cs="Arial"/>
              </w:rPr>
              <w:t>, ¿responde a la finalidad de defensa de los derechos de los ciudadanos como poder del Juez que evidencie un impacto positivo en materia de descongestión de la Jurisdicción Contenciosa Administrativa?.</w:t>
            </w:r>
            <w:r>
              <w:rPr>
                <w:rFonts w:ascii="Arial" w:hAnsi="Arial" w:cs="Arial"/>
              </w:rPr>
              <w:t xml:space="preserve"> </w:t>
            </w:r>
          </w:p>
          <w:p w:rsidR="00604B80" w:rsidRPr="00604B80" w:rsidRDefault="00604B80" w:rsidP="00604B80">
            <w:pPr>
              <w:jc w:val="both"/>
              <w:rPr>
                <w:rFonts w:ascii="Arial" w:hAnsi="Arial" w:cs="Arial"/>
              </w:rPr>
            </w:pPr>
          </w:p>
          <w:p w:rsidR="00604B80" w:rsidRDefault="00604B80" w:rsidP="00604B80">
            <w:pPr>
              <w:jc w:val="both"/>
              <w:rPr>
                <w:rFonts w:ascii="Arial" w:hAnsi="Arial" w:cs="Arial"/>
              </w:rPr>
            </w:pPr>
            <w:r w:rsidRPr="00604B80">
              <w:rPr>
                <w:rFonts w:ascii="Arial" w:hAnsi="Arial" w:cs="Arial"/>
              </w:rPr>
              <w:t>2.</w:t>
            </w:r>
            <w:r w:rsidRPr="00604B80">
              <w:rPr>
                <w:rFonts w:ascii="Arial" w:hAnsi="Arial" w:cs="Arial"/>
              </w:rPr>
              <w:tab/>
              <w:t>El procedimiento administrativo establecido en la Ley 1437 de 2011, ¿determina un canal de optimización de la función pública que aproxime el Estado al ciudadano?.</w:t>
            </w:r>
          </w:p>
          <w:p w:rsidR="00604B80" w:rsidRDefault="00604B80" w:rsidP="00604B80">
            <w:pPr>
              <w:jc w:val="both"/>
              <w:rPr>
                <w:rFonts w:ascii="Arial" w:hAnsi="Arial" w:cs="Arial"/>
              </w:rPr>
            </w:pPr>
          </w:p>
          <w:p w:rsidR="00604B80" w:rsidRPr="00604B80" w:rsidRDefault="00604B80" w:rsidP="00604B80">
            <w:pPr>
              <w:jc w:val="both"/>
              <w:rPr>
                <w:rFonts w:ascii="Arial" w:hAnsi="Arial" w:cs="Arial"/>
              </w:rPr>
            </w:pPr>
            <w:r>
              <w:rPr>
                <w:rFonts w:ascii="Arial" w:hAnsi="Arial" w:cs="Arial"/>
              </w:rPr>
              <w:t>3. La estructura del Estado colombiano, ¿es consistente con las necesidades de los ciudadanos que acuden a la administración pública?.</w:t>
            </w:r>
          </w:p>
          <w:p w:rsidR="00604B80" w:rsidRPr="00604B80" w:rsidRDefault="00604B80" w:rsidP="00604B80">
            <w:pPr>
              <w:jc w:val="both"/>
              <w:rPr>
                <w:rFonts w:ascii="Arial" w:hAnsi="Arial" w:cs="Arial"/>
              </w:rPr>
            </w:pPr>
          </w:p>
          <w:p w:rsidR="009D3B04" w:rsidRPr="00C674FC" w:rsidRDefault="009D3B04" w:rsidP="00604B80">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C350E9" w:rsidRPr="00C350E9" w:rsidTr="00CC21F3">
        <w:tc>
          <w:tcPr>
            <w:tcW w:w="9740" w:type="dxa"/>
          </w:tcPr>
          <w:p w:rsidR="009D3B04" w:rsidRPr="00C350E9" w:rsidRDefault="009D3B04" w:rsidP="001B7672">
            <w:pPr>
              <w:jc w:val="both"/>
              <w:rPr>
                <w:rFonts w:ascii="Arial" w:hAnsi="Arial" w:cs="Arial"/>
              </w:rPr>
            </w:pPr>
          </w:p>
          <w:p w:rsidR="00114DDE" w:rsidRPr="00C350E9" w:rsidRDefault="009D3B04" w:rsidP="001B7672">
            <w:pPr>
              <w:jc w:val="both"/>
              <w:rPr>
                <w:rFonts w:ascii="Arial" w:hAnsi="Arial" w:cs="Arial"/>
                <w:b/>
              </w:rPr>
            </w:pPr>
            <w:r w:rsidRPr="00C350E9">
              <w:rPr>
                <w:rFonts w:ascii="Arial" w:hAnsi="Arial" w:cs="Arial"/>
                <w:b/>
              </w:rPr>
              <w:t xml:space="preserve">Competencias básicas: </w:t>
            </w:r>
          </w:p>
          <w:p w:rsidR="00114DDE" w:rsidRPr="00C350E9" w:rsidRDefault="00114DDE" w:rsidP="001B7672">
            <w:pPr>
              <w:jc w:val="both"/>
              <w:rPr>
                <w:rFonts w:ascii="Arial" w:hAnsi="Arial" w:cs="Arial"/>
                <w:b/>
              </w:rPr>
            </w:pPr>
          </w:p>
          <w:p w:rsidR="00114DDE" w:rsidRPr="00C350E9" w:rsidRDefault="00114DDE" w:rsidP="00114DDE">
            <w:pPr>
              <w:pStyle w:val="Prrafodelista"/>
              <w:numPr>
                <w:ilvl w:val="0"/>
                <w:numId w:val="44"/>
              </w:numPr>
              <w:jc w:val="both"/>
              <w:rPr>
                <w:rFonts w:ascii="Arial" w:hAnsi="Arial" w:cs="Arial"/>
                <w:sz w:val="24"/>
                <w:szCs w:val="24"/>
                <w:shd w:val="clear" w:color="auto" w:fill="FFFFFF"/>
              </w:rPr>
            </w:pPr>
            <w:r w:rsidRPr="00C350E9">
              <w:rPr>
                <w:rFonts w:ascii="Arial" w:hAnsi="Arial" w:cs="Arial"/>
                <w:sz w:val="24"/>
                <w:szCs w:val="24"/>
                <w:shd w:val="clear" w:color="auto" w:fill="FFFFFF"/>
              </w:rPr>
              <w:t>Comprender la estructura del Estado Colombiano.</w:t>
            </w:r>
          </w:p>
          <w:p w:rsidR="00114DDE" w:rsidRPr="00C350E9" w:rsidRDefault="00114DDE" w:rsidP="00114DDE">
            <w:pPr>
              <w:pStyle w:val="Prrafodelista"/>
              <w:numPr>
                <w:ilvl w:val="0"/>
                <w:numId w:val="44"/>
              </w:numPr>
              <w:jc w:val="both"/>
              <w:rPr>
                <w:rFonts w:ascii="Arial" w:hAnsi="Arial" w:cs="Arial"/>
                <w:sz w:val="24"/>
                <w:szCs w:val="24"/>
                <w:shd w:val="clear" w:color="auto" w:fill="FFFFFF"/>
              </w:rPr>
            </w:pPr>
            <w:r w:rsidRPr="00C350E9">
              <w:rPr>
                <w:rFonts w:ascii="Arial" w:hAnsi="Arial" w:cs="Arial"/>
                <w:sz w:val="24"/>
                <w:szCs w:val="24"/>
                <w:shd w:val="clear" w:color="auto" w:fill="FFFFFF"/>
              </w:rPr>
              <w:t>Determinar los elementos de la responsabilidad estatal.</w:t>
            </w:r>
          </w:p>
          <w:p w:rsidR="009D3B04" w:rsidRPr="00C350E9" w:rsidRDefault="00114DDE" w:rsidP="00114DDE">
            <w:pPr>
              <w:pStyle w:val="Prrafodelista"/>
              <w:numPr>
                <w:ilvl w:val="0"/>
                <w:numId w:val="44"/>
              </w:numPr>
              <w:jc w:val="both"/>
              <w:rPr>
                <w:rFonts w:ascii="Arial" w:hAnsi="Arial" w:cs="Arial"/>
                <w:sz w:val="24"/>
                <w:szCs w:val="24"/>
                <w:shd w:val="clear" w:color="auto" w:fill="FFFFFF"/>
              </w:rPr>
            </w:pPr>
            <w:r w:rsidRPr="00C350E9">
              <w:rPr>
                <w:rFonts w:ascii="Arial" w:hAnsi="Arial" w:cs="Arial"/>
                <w:sz w:val="24"/>
                <w:szCs w:val="24"/>
                <w:shd w:val="clear" w:color="auto" w:fill="FFFFFF"/>
              </w:rPr>
              <w:t>Entender la clasificación e los actos administrativos.</w:t>
            </w:r>
          </w:p>
          <w:p w:rsidR="00114DDE" w:rsidRPr="00C350E9" w:rsidRDefault="00114DDE" w:rsidP="00114DDE">
            <w:pPr>
              <w:pStyle w:val="Prrafodelista"/>
              <w:numPr>
                <w:ilvl w:val="0"/>
                <w:numId w:val="44"/>
              </w:numPr>
              <w:rPr>
                <w:rFonts w:ascii="Arial" w:hAnsi="Arial" w:cs="Arial"/>
                <w:sz w:val="24"/>
                <w:szCs w:val="24"/>
                <w:shd w:val="clear" w:color="auto" w:fill="FFFFFF"/>
              </w:rPr>
            </w:pPr>
            <w:r w:rsidRPr="00C350E9">
              <w:rPr>
                <w:rFonts w:ascii="Arial" w:hAnsi="Arial" w:cs="Arial"/>
                <w:sz w:val="24"/>
                <w:szCs w:val="24"/>
                <w:shd w:val="clear" w:color="auto" w:fill="FFFFFF"/>
              </w:rPr>
              <w:t>Determinar los elementos de la contrataciòn estatal.</w:t>
            </w:r>
          </w:p>
          <w:p w:rsidR="00114DDE" w:rsidRPr="00C350E9" w:rsidRDefault="00114DDE" w:rsidP="00114DDE">
            <w:pPr>
              <w:pStyle w:val="Prrafodelista"/>
              <w:numPr>
                <w:ilvl w:val="0"/>
                <w:numId w:val="44"/>
              </w:numPr>
              <w:jc w:val="both"/>
              <w:rPr>
                <w:rFonts w:ascii="Arial" w:hAnsi="Arial" w:cs="Arial"/>
                <w:sz w:val="24"/>
                <w:szCs w:val="24"/>
                <w:shd w:val="clear" w:color="auto" w:fill="FFFFFF"/>
              </w:rPr>
            </w:pPr>
          </w:p>
          <w:p w:rsidR="009D3B04" w:rsidRPr="00C350E9" w:rsidRDefault="009D3B04" w:rsidP="001B7672">
            <w:pPr>
              <w:jc w:val="both"/>
              <w:rPr>
                <w:rFonts w:ascii="Arial" w:hAnsi="Arial" w:cs="Arial"/>
                <w:shd w:val="clear" w:color="auto" w:fill="FFFFFF"/>
              </w:rPr>
            </w:pPr>
            <w:r w:rsidRPr="00C350E9">
              <w:rPr>
                <w:rFonts w:ascii="Arial" w:hAnsi="Arial" w:cs="Arial"/>
                <w:b/>
                <w:shd w:val="clear" w:color="auto" w:fill="FFFFFF"/>
              </w:rPr>
              <w:t xml:space="preserve">Competencias específicas: </w:t>
            </w:r>
            <w:r w:rsidR="00C350E9" w:rsidRPr="00C350E9">
              <w:rPr>
                <w:rFonts w:ascii="Arial" w:hAnsi="Arial" w:cs="Arial"/>
                <w:shd w:val="clear" w:color="auto" w:fill="FFFFFF"/>
              </w:rPr>
              <w:t>-</w:t>
            </w:r>
          </w:p>
          <w:p w:rsidR="00C350E9" w:rsidRPr="00C350E9" w:rsidRDefault="00C350E9" w:rsidP="00C350E9">
            <w:pPr>
              <w:pStyle w:val="Prrafodelista"/>
              <w:numPr>
                <w:ilvl w:val="0"/>
                <w:numId w:val="44"/>
              </w:numPr>
              <w:jc w:val="both"/>
              <w:rPr>
                <w:rFonts w:ascii="Arial" w:hAnsi="Arial" w:cs="Arial"/>
                <w:sz w:val="24"/>
                <w:szCs w:val="24"/>
                <w:shd w:val="clear" w:color="auto" w:fill="FFFFFF"/>
              </w:rPr>
            </w:pPr>
            <w:r w:rsidRPr="00C350E9">
              <w:rPr>
                <w:rFonts w:ascii="Arial" w:hAnsi="Arial" w:cs="Arial"/>
                <w:sz w:val="24"/>
                <w:szCs w:val="24"/>
                <w:shd w:val="clear" w:color="auto" w:fill="FFFFFF"/>
              </w:rPr>
              <w:t>Conocer el tramite de los derechos de petición.</w:t>
            </w:r>
          </w:p>
          <w:p w:rsidR="00C350E9" w:rsidRPr="00C350E9" w:rsidRDefault="00C350E9" w:rsidP="00C350E9">
            <w:pPr>
              <w:pStyle w:val="Prrafodelista"/>
              <w:numPr>
                <w:ilvl w:val="0"/>
                <w:numId w:val="44"/>
              </w:numPr>
              <w:jc w:val="both"/>
              <w:rPr>
                <w:rFonts w:ascii="Arial" w:hAnsi="Arial" w:cs="Arial"/>
                <w:sz w:val="24"/>
                <w:szCs w:val="24"/>
                <w:shd w:val="clear" w:color="auto" w:fill="FFFFFF"/>
              </w:rPr>
            </w:pPr>
            <w:r w:rsidRPr="00C350E9">
              <w:rPr>
                <w:rFonts w:ascii="Arial" w:hAnsi="Arial" w:cs="Arial"/>
                <w:sz w:val="24"/>
                <w:szCs w:val="24"/>
                <w:shd w:val="clear" w:color="auto" w:fill="FFFFFF"/>
              </w:rPr>
              <w:t xml:space="preserve">Determinar la estructura de dirección de la administración pública. </w:t>
            </w:r>
          </w:p>
          <w:p w:rsidR="00C350E9" w:rsidRPr="00C350E9" w:rsidRDefault="00C350E9" w:rsidP="001B7672">
            <w:pPr>
              <w:jc w:val="both"/>
              <w:rPr>
                <w:rFonts w:ascii="Arial" w:hAnsi="Arial" w:cs="Arial"/>
                <w:b/>
              </w:rPr>
            </w:pPr>
          </w:p>
          <w:p w:rsidR="004E5C30" w:rsidRPr="00C350E9" w:rsidRDefault="009D3B04" w:rsidP="00C350E9">
            <w:pPr>
              <w:jc w:val="both"/>
              <w:rPr>
                <w:rFonts w:ascii="Arial" w:hAnsi="Arial" w:cs="Arial"/>
              </w:rPr>
            </w:pPr>
            <w:r w:rsidRPr="00C350E9">
              <w:rPr>
                <w:rFonts w:ascii="Arial" w:hAnsi="Arial" w:cs="Arial"/>
                <w:b/>
              </w:rPr>
              <w:lastRenderedPageBreak/>
              <w:t xml:space="preserve">Competencias de énfasis: </w:t>
            </w:r>
          </w:p>
          <w:p w:rsidR="004E5C30" w:rsidRPr="00C350E9" w:rsidRDefault="004E5C30" w:rsidP="001B7672">
            <w:pPr>
              <w:jc w:val="both"/>
              <w:rPr>
                <w:rFonts w:ascii="Arial" w:hAnsi="Arial" w:cs="Arial"/>
              </w:rPr>
            </w:pPr>
          </w:p>
          <w:p w:rsidR="00C350E9" w:rsidRPr="00C350E9" w:rsidRDefault="004E5C30" w:rsidP="001B7672">
            <w:pPr>
              <w:jc w:val="both"/>
              <w:rPr>
                <w:rFonts w:ascii="Arial" w:hAnsi="Arial" w:cs="Arial"/>
              </w:rPr>
            </w:pPr>
            <w:r w:rsidRPr="00C350E9">
              <w:rPr>
                <w:rFonts w:ascii="Arial" w:hAnsi="Arial" w:cs="Arial"/>
                <w:b/>
              </w:rPr>
              <w:t>Competencias Generales:</w:t>
            </w:r>
            <w:r w:rsidRPr="00C350E9">
              <w:rPr>
                <w:rFonts w:ascii="Arial" w:hAnsi="Arial" w:cs="Arial"/>
              </w:rPr>
              <w:t xml:space="preserve"> </w:t>
            </w:r>
          </w:p>
          <w:p w:rsidR="00C350E9" w:rsidRPr="00C350E9" w:rsidRDefault="00C350E9" w:rsidP="001B7672">
            <w:pPr>
              <w:jc w:val="both"/>
              <w:rPr>
                <w:rFonts w:ascii="Arial" w:hAnsi="Arial" w:cs="Arial"/>
              </w:rPr>
            </w:pPr>
          </w:p>
          <w:p w:rsidR="004E5C30" w:rsidRPr="00C350E9" w:rsidRDefault="004E5C30" w:rsidP="001B7672">
            <w:pPr>
              <w:pStyle w:val="Prrafodelista"/>
              <w:numPr>
                <w:ilvl w:val="0"/>
                <w:numId w:val="42"/>
              </w:numPr>
              <w:spacing w:after="0" w:line="240" w:lineRule="auto"/>
              <w:jc w:val="both"/>
              <w:rPr>
                <w:rFonts w:ascii="Arial" w:hAnsi="Arial" w:cs="Arial"/>
                <w:sz w:val="24"/>
                <w:szCs w:val="24"/>
              </w:rPr>
            </w:pPr>
            <w:r w:rsidRPr="00C350E9">
              <w:rPr>
                <w:rFonts w:ascii="Arial" w:hAnsi="Arial" w:cs="Arial"/>
                <w:b/>
                <w:i/>
                <w:sz w:val="24"/>
                <w:szCs w:val="24"/>
              </w:rPr>
              <w:t>Intelectuales</w:t>
            </w:r>
            <w:r w:rsidRPr="00C350E9">
              <w:rPr>
                <w:rFonts w:ascii="Arial" w:hAnsi="Arial" w:cs="Arial"/>
                <w:b/>
                <w:sz w:val="24"/>
                <w:szCs w:val="24"/>
              </w:rPr>
              <w:t>:</w:t>
            </w:r>
            <w:r w:rsidRPr="00C350E9">
              <w:rPr>
                <w:rFonts w:ascii="Arial" w:hAnsi="Arial" w:cs="Arial"/>
                <w:sz w:val="24"/>
                <w:szCs w:val="24"/>
              </w:rPr>
              <w:t xml:space="preserve"> </w:t>
            </w:r>
            <w:r w:rsidR="00C350E9" w:rsidRPr="00C350E9">
              <w:rPr>
                <w:rFonts w:ascii="Arial" w:hAnsi="Arial" w:cs="Arial"/>
                <w:sz w:val="24"/>
                <w:szCs w:val="24"/>
              </w:rPr>
              <w:t>Resoluciòn de casos de la vida practica, generación de autodisciplina en la lectura,</w:t>
            </w:r>
            <w:r w:rsidRPr="00C350E9">
              <w:rPr>
                <w:rFonts w:ascii="Arial" w:hAnsi="Arial" w:cs="Arial"/>
                <w:sz w:val="24"/>
                <w:szCs w:val="24"/>
              </w:rPr>
              <w:t>.</w:t>
            </w:r>
          </w:p>
          <w:p w:rsidR="004E5C30" w:rsidRPr="00C350E9" w:rsidRDefault="004E5C30" w:rsidP="001B7672">
            <w:pPr>
              <w:pStyle w:val="Prrafodelista"/>
              <w:numPr>
                <w:ilvl w:val="0"/>
                <w:numId w:val="42"/>
              </w:numPr>
              <w:spacing w:after="0" w:line="240" w:lineRule="auto"/>
              <w:jc w:val="both"/>
              <w:rPr>
                <w:rFonts w:ascii="Arial" w:hAnsi="Arial" w:cs="Arial"/>
                <w:sz w:val="24"/>
                <w:szCs w:val="24"/>
              </w:rPr>
            </w:pPr>
            <w:r w:rsidRPr="00C350E9">
              <w:rPr>
                <w:rFonts w:ascii="Arial" w:hAnsi="Arial" w:cs="Arial"/>
                <w:b/>
                <w:i/>
                <w:sz w:val="24"/>
                <w:szCs w:val="24"/>
              </w:rPr>
              <w:t>Personales</w:t>
            </w:r>
            <w:r w:rsidRPr="00C350E9">
              <w:rPr>
                <w:rFonts w:ascii="Arial" w:hAnsi="Arial" w:cs="Arial"/>
                <w:sz w:val="24"/>
                <w:szCs w:val="24"/>
              </w:rPr>
              <w:t xml:space="preserve">: </w:t>
            </w:r>
            <w:r w:rsidR="00C350E9" w:rsidRPr="00C350E9">
              <w:rPr>
                <w:rFonts w:ascii="Arial" w:hAnsi="Arial" w:cs="Arial"/>
                <w:sz w:val="24"/>
                <w:szCs w:val="24"/>
              </w:rPr>
              <w:t xml:space="preserve">Honestidad, </w:t>
            </w:r>
            <w:r w:rsidRPr="00C350E9">
              <w:rPr>
                <w:rFonts w:ascii="Arial" w:hAnsi="Arial" w:cs="Arial"/>
                <w:sz w:val="24"/>
                <w:szCs w:val="24"/>
              </w:rPr>
              <w:t xml:space="preserve"> adaptación al cambio.</w:t>
            </w:r>
          </w:p>
          <w:p w:rsidR="004E5C30" w:rsidRPr="00C350E9" w:rsidRDefault="004E5C30" w:rsidP="001B7672">
            <w:pPr>
              <w:pStyle w:val="Prrafodelista"/>
              <w:numPr>
                <w:ilvl w:val="0"/>
                <w:numId w:val="42"/>
              </w:numPr>
              <w:spacing w:after="0" w:line="240" w:lineRule="auto"/>
              <w:jc w:val="both"/>
              <w:rPr>
                <w:rFonts w:ascii="Arial" w:hAnsi="Arial" w:cs="Arial"/>
                <w:sz w:val="24"/>
                <w:szCs w:val="24"/>
              </w:rPr>
            </w:pPr>
            <w:r w:rsidRPr="00C350E9">
              <w:rPr>
                <w:rFonts w:ascii="Arial" w:hAnsi="Arial" w:cs="Arial"/>
                <w:b/>
                <w:i/>
                <w:sz w:val="24"/>
                <w:szCs w:val="24"/>
              </w:rPr>
              <w:t>Interpersonales</w:t>
            </w:r>
            <w:r w:rsidRPr="00C350E9">
              <w:rPr>
                <w:rFonts w:ascii="Arial" w:hAnsi="Arial" w:cs="Arial"/>
                <w:sz w:val="24"/>
                <w:szCs w:val="24"/>
              </w:rPr>
              <w:t>: Comunicación, trabajo en equipo, liderazgo, manejo de conflictos.</w:t>
            </w:r>
          </w:p>
          <w:p w:rsidR="004E5C30" w:rsidRPr="00C350E9" w:rsidRDefault="004E5C30" w:rsidP="001B7672">
            <w:pPr>
              <w:jc w:val="both"/>
              <w:rPr>
                <w:rFonts w:ascii="Arial" w:hAnsi="Arial" w:cs="Arial"/>
              </w:rPr>
            </w:pPr>
          </w:p>
          <w:p w:rsidR="009D3B04" w:rsidRPr="00C350E9" w:rsidRDefault="009D3B04" w:rsidP="001B7672">
            <w:pPr>
              <w:jc w:val="both"/>
              <w:rPr>
                <w:rFonts w:ascii="Arial" w:hAnsi="Arial" w:cs="Arial"/>
              </w:rPr>
            </w:pPr>
          </w:p>
        </w:tc>
      </w:tr>
    </w:tbl>
    <w:p w:rsidR="009D3B04" w:rsidRPr="00C350E9" w:rsidRDefault="009D3B04" w:rsidP="009D3B04">
      <w:pPr>
        <w:rPr>
          <w:rFonts w:ascii="Arial" w:hAnsi="Arial" w:cs="Arial"/>
        </w:rPr>
      </w:pPr>
    </w:p>
    <w:p w:rsidR="00082EE3" w:rsidRPr="00C350E9" w:rsidRDefault="00082EE3"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C350E9" w:rsidRPr="00C350E9" w:rsidTr="00CC21F3">
        <w:tc>
          <w:tcPr>
            <w:tcW w:w="9740" w:type="dxa"/>
            <w:shd w:val="clear" w:color="auto" w:fill="365F91" w:themeFill="accent1" w:themeFillShade="BF"/>
          </w:tcPr>
          <w:p w:rsidR="009D3B04" w:rsidRPr="00C350E9" w:rsidRDefault="009D3B04" w:rsidP="00CC21F3">
            <w:pPr>
              <w:rPr>
                <w:rFonts w:ascii="Arial" w:hAnsi="Arial" w:cs="Arial"/>
                <w:b/>
              </w:rPr>
            </w:pPr>
            <w:r w:rsidRPr="00C350E9">
              <w:rPr>
                <w:rFonts w:ascii="Arial" w:hAnsi="Arial" w:cs="Arial"/>
                <w:b/>
              </w:rPr>
              <w:t>DISCIPLINAS QUE SE INTEGRAN:</w:t>
            </w:r>
            <w:r w:rsidR="00A95DF1" w:rsidRPr="00C350E9">
              <w:rPr>
                <w:rFonts w:ascii="Arial" w:hAnsi="Arial" w:cs="Arial"/>
                <w:b/>
              </w:rPr>
              <w:t xml:space="preserve"> </w:t>
            </w:r>
          </w:p>
        </w:tc>
      </w:tr>
      <w:tr w:rsidR="00C350E9" w:rsidRPr="00C350E9" w:rsidTr="00CC21F3">
        <w:tc>
          <w:tcPr>
            <w:tcW w:w="9740" w:type="dxa"/>
          </w:tcPr>
          <w:p w:rsidR="00580528" w:rsidRPr="00C350E9" w:rsidRDefault="00C350E9" w:rsidP="00580528">
            <w:pPr>
              <w:pStyle w:val="Prrafodelista"/>
              <w:numPr>
                <w:ilvl w:val="0"/>
                <w:numId w:val="41"/>
              </w:numPr>
              <w:rPr>
                <w:rFonts w:ascii="Arial" w:hAnsi="Arial" w:cs="Arial"/>
                <w:sz w:val="24"/>
                <w:szCs w:val="24"/>
              </w:rPr>
            </w:pPr>
            <w:r w:rsidRPr="00C350E9">
              <w:rPr>
                <w:rFonts w:ascii="Arial" w:hAnsi="Arial" w:cs="Arial"/>
                <w:sz w:val="24"/>
                <w:szCs w:val="24"/>
              </w:rPr>
              <w:t xml:space="preserve"> Historia., </w:t>
            </w:r>
            <w:r w:rsidR="00580528" w:rsidRPr="00C350E9">
              <w:rPr>
                <w:rFonts w:ascii="Arial" w:hAnsi="Arial" w:cs="Arial"/>
                <w:sz w:val="24"/>
                <w:szCs w:val="24"/>
              </w:rPr>
              <w:t>Sociología, Filosofía, Psicología</w:t>
            </w:r>
            <w:r w:rsidR="001B7672" w:rsidRPr="00C350E9">
              <w:rPr>
                <w:rFonts w:ascii="Arial" w:hAnsi="Arial" w:cs="Arial"/>
                <w:sz w:val="24"/>
                <w:szCs w:val="24"/>
              </w:rPr>
              <w:t xml:space="preserve"> entre otras</w:t>
            </w:r>
          </w:p>
          <w:p w:rsidR="009D3B04" w:rsidRPr="00C350E9" w:rsidRDefault="009D3B04" w:rsidP="00C350E9">
            <w:pPr>
              <w:pStyle w:val="Prrafodelista"/>
              <w:rPr>
                <w:rFonts w:ascii="Arial" w:hAnsi="Arial" w:cs="Arial"/>
                <w:sz w:val="24"/>
                <w:szCs w:val="24"/>
              </w:rPr>
            </w:pP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082EE3" w:rsidRPr="00822A79" w:rsidRDefault="00583131" w:rsidP="00D75C10">
            <w:pPr>
              <w:rPr>
                <w:rFonts w:ascii="Arial" w:hAnsi="Arial" w:cs="Arial"/>
                <w:b/>
              </w:rPr>
            </w:pPr>
            <w:r w:rsidRPr="00822A79">
              <w:rPr>
                <w:rFonts w:ascii="Arial" w:hAnsi="Arial" w:cs="Arial"/>
                <w:b/>
              </w:rPr>
              <w:t>Investigación:</w:t>
            </w:r>
            <w:r w:rsidR="00082EE3" w:rsidRPr="00822A79">
              <w:rPr>
                <w:rFonts w:ascii="Arial" w:hAnsi="Arial" w:cs="Arial"/>
                <w:b/>
              </w:rPr>
              <w:t xml:space="preserve"> </w:t>
            </w:r>
          </w:p>
          <w:p w:rsidR="00583131" w:rsidRPr="00822A79" w:rsidRDefault="00822A79" w:rsidP="00822A79">
            <w:pPr>
              <w:rPr>
                <w:rFonts w:ascii="Arial" w:hAnsi="Arial" w:cs="Arial"/>
              </w:rPr>
            </w:pPr>
            <w:r w:rsidRPr="00822A79">
              <w:rPr>
                <w:rFonts w:ascii="Arial" w:hAnsi="Arial" w:cs="Arial"/>
              </w:rPr>
              <w:t xml:space="preserve">El Derecho Administrativo permitirá investigar  la estructura de la Administración y las funciones de la misma, para establecer si el funcionamiento del Estado se enmarca en principio de solidaridad y justicia social, que es lo que caracteriza al Estado Social del Derecho. En efecto el Estado Social de Derecho no podrá concebirse como un simple Estado sometido a la legalidad, sino que habrá que determinar dentro del mismo, la existencia de principios de libertad, desarrollo integral del ser humano, protección de derechos, la existencia de una verdadera justicia social fundada en la solidaridad. Pero demás habrá que tener en cuenta que ese Estado Social de Derecho ha venido sufriendo transformaciones en su evolución jurídico política por lo que habrá que hablar e un Estado contemporáneo más allá del Estado social el derecho. </w:t>
            </w:r>
          </w:p>
        </w:tc>
      </w:tr>
      <w:tr w:rsidR="00583131" w:rsidTr="00D75C10">
        <w:tc>
          <w:tcPr>
            <w:tcW w:w="9740" w:type="dxa"/>
          </w:tcPr>
          <w:p w:rsidR="00583131" w:rsidRPr="00822A79" w:rsidRDefault="00583131" w:rsidP="001B7672">
            <w:pPr>
              <w:jc w:val="both"/>
              <w:rPr>
                <w:rFonts w:ascii="Arial" w:hAnsi="Arial" w:cs="Arial"/>
                <w:b/>
              </w:rPr>
            </w:pPr>
            <w:r w:rsidRPr="00822A79">
              <w:rPr>
                <w:rFonts w:ascii="Arial" w:hAnsi="Arial" w:cs="Arial"/>
                <w:b/>
              </w:rPr>
              <w:t xml:space="preserve">Proyección Social: </w:t>
            </w:r>
          </w:p>
          <w:p w:rsidR="00583131" w:rsidRPr="00822A79" w:rsidRDefault="00822A79" w:rsidP="001B7672">
            <w:pPr>
              <w:jc w:val="both"/>
              <w:rPr>
                <w:rFonts w:ascii="Arial" w:hAnsi="Arial" w:cs="Arial"/>
              </w:rPr>
            </w:pPr>
            <w:r w:rsidRPr="00822A79">
              <w:rPr>
                <w:rFonts w:ascii="Arial" w:hAnsi="Arial" w:cs="Arial"/>
              </w:rPr>
              <w:t xml:space="preserve">En la medida en que a través del Derecho Administrativo se conozca una función primordial del Estado como es la Función Administrativa y además se logre determinar cuál es la estructura de la administración pública, se podrán garantizar los derechos de los administrados y ya no serán las normas administrativas simples regulaciones, sino que se convertirán en el fundamento dinámico del Estado Social de Derecho. El Derecho Administrativo debe estudiarse entonces con fundamento en la nueva realidad de la Constitución de 1991, donde sus normas deben implicar un contenido eminentemente social, para que la legalidad se ajuste a postulados constitucionales y para que sea sustento de esa nueva realidad. </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Origen y etapas de desarrollo del Derecho Administrativo.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Delegación Administrativa (Clases)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Descentralización Administrativa (clases)</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Controles en los sistemas de centralización y descentralización Estructura del Estado</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Organismos Adscritos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Organismos Vinculados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Organismos de Régimen Especial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Función o actividad Administrativa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Criterios para determinar los actos de la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Los actos administrativos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Etapas del Acto Administrativo: nacimiento, efectos, desaparecimiento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Clasificación de los actos administrativos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Responsabilidad administrativa extracontractual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Etapas de la Responsabilidad Administrativa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Clases de responsabilidad Administrativa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Elementos de la Responsabilidad Administrativa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Los contratos Estatales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Régimen Jurídico del Estatuto Contractual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Principios de la Contratación Estatal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Clases de Contratos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Cláusulas excepcionales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Selección de Contratistas Nulidades – liquidación </w:t>
            </w:r>
          </w:p>
          <w:p w:rsidR="00C350E9" w:rsidRPr="00C350E9" w:rsidRDefault="00C350E9" w:rsidP="00C350E9">
            <w:pPr>
              <w:spacing w:after="160" w:line="259" w:lineRule="auto"/>
              <w:rPr>
                <w:rFonts w:ascii="Arial" w:eastAsia="Calibri" w:hAnsi="Arial" w:cs="Arial"/>
                <w:lang w:val="es-CO" w:eastAsia="en-US"/>
              </w:rPr>
            </w:pPr>
            <w:r w:rsidRPr="00C350E9">
              <w:rPr>
                <w:rFonts w:ascii="Arial" w:eastAsia="Calibri" w:hAnsi="Arial" w:cs="Arial"/>
                <w:lang w:val="es-CO" w:eastAsia="en-US"/>
              </w:rPr>
              <w:t xml:space="preserve">Función Pública </w:t>
            </w:r>
          </w:p>
          <w:p w:rsidR="004C4BF8" w:rsidRDefault="004C4BF8" w:rsidP="001B7672">
            <w:pPr>
              <w:jc w:val="both"/>
              <w:rPr>
                <w:rFonts w:ascii="Arial" w:hAnsi="Arial" w:cs="Arial"/>
                <w:color w:val="C00000"/>
                <w:sz w:val="20"/>
              </w:rPr>
            </w:pPr>
          </w:p>
          <w:p w:rsidR="005307D9" w:rsidRDefault="007F422F" w:rsidP="001B7672">
            <w:pPr>
              <w:jc w:val="both"/>
              <w:rPr>
                <w:rFonts w:ascii="Arial" w:hAnsi="Arial" w:cs="Arial"/>
                <w:color w:val="0F243E" w:themeColor="text2" w:themeShade="80"/>
              </w:rPr>
            </w:pPr>
            <w:r>
              <w:rPr>
                <w:rFonts w:ascii="Arial" w:hAnsi="Arial" w:cs="Arial"/>
                <w:color w:val="C00000"/>
                <w:sz w:val="20"/>
              </w:rPr>
              <w:lastRenderedPageBreak/>
              <w:t xml:space="preserve">. </w:t>
            </w:r>
            <w:r w:rsidRPr="007F422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D774F2">
            <w:pPr>
              <w:rPr>
                <w:rFonts w:ascii="Arial" w:hAnsi="Arial" w:cs="Arial"/>
                <w:color w:val="C00000"/>
                <w:sz w:val="20"/>
              </w:rPr>
            </w:pPr>
          </w:p>
          <w:p w:rsidR="00C350E9" w:rsidRPr="00C350E9" w:rsidRDefault="00C350E9" w:rsidP="00C350E9">
            <w:pPr>
              <w:jc w:val="both"/>
              <w:rPr>
                <w:rFonts w:ascii="Arial" w:hAnsi="Arial" w:cs="Arial"/>
                <w:lang w:val="es-MX"/>
              </w:rPr>
            </w:pPr>
            <w:r w:rsidRPr="00C350E9">
              <w:rPr>
                <w:rFonts w:ascii="Arial" w:hAnsi="Arial" w:cs="Arial"/>
                <w:lang w:val="es-MX"/>
              </w:rPr>
              <w:t>La protección de los derechos de los ciudadanos no es una simple proclama formal de la C.P., sino que como lo cita la Corte Constitucional, involucra su realización efectiva: “Este derecho se asienta sobre la concepción de un estado material de derecho que por definición no agota su pretensión ordenadora en la proclamación formal de los derechos de las personas sino que se configura a partir de su efectiva realización” (Corte Constitucional. Sentencia T-006 de 1992).</w:t>
            </w:r>
          </w:p>
          <w:p w:rsidR="00C350E9" w:rsidRPr="00C350E9" w:rsidRDefault="00C350E9" w:rsidP="00C350E9">
            <w:pPr>
              <w:jc w:val="both"/>
              <w:rPr>
                <w:rFonts w:ascii="Arial" w:hAnsi="Arial" w:cs="Arial"/>
                <w:lang w:val="es-MX"/>
              </w:rPr>
            </w:pPr>
          </w:p>
          <w:p w:rsidR="00C350E9" w:rsidRPr="00C350E9" w:rsidRDefault="00C350E9" w:rsidP="00C350E9">
            <w:pPr>
              <w:jc w:val="both"/>
              <w:rPr>
                <w:rFonts w:ascii="Arial" w:hAnsi="Arial" w:cs="Arial"/>
              </w:rPr>
            </w:pPr>
            <w:r w:rsidRPr="00C350E9">
              <w:rPr>
                <w:rFonts w:ascii="Arial" w:hAnsi="Arial" w:cs="Arial"/>
              </w:rPr>
              <w:t xml:space="preserve">Y si la protección de derechos es el derrotero que deben seguir los operadores judiciales, la independencia judicial no es un beneficio –exclusivo- de los Jueces, sino del ciudadano que le garantiza que estos actúen conforme al ordenamiento jurídico mediante decisiones definitivas que hagan tránsito a cosa juzgada: “En efecto, la independencia no es una garantía en beneficio del funcionario sino del ciudadano, pues se considera que el juez, al actuar exclusivamente con base en el derecho y gozar de independencia funcional, reúne los requisitos para que sus determinaciones, una vez decididos los recursos de ley, puedan ser definitivas, esto es, hacer tránsito a cosa juzgada, ya que se pueden presumir conformes al ordenamiento.” (Corte Constitucional.  Sentencia  C-1641 de 29 de Noviembre de 2000). </w:t>
            </w:r>
          </w:p>
          <w:p w:rsidR="00C350E9" w:rsidRPr="00C350E9" w:rsidRDefault="00C350E9" w:rsidP="00C350E9">
            <w:pPr>
              <w:jc w:val="both"/>
              <w:rPr>
                <w:rFonts w:ascii="Arial" w:hAnsi="Arial" w:cs="Arial"/>
                <w:lang w:val="es-MX"/>
              </w:rPr>
            </w:pPr>
          </w:p>
          <w:p w:rsidR="00C350E9" w:rsidRPr="00C350E9" w:rsidRDefault="00C350E9" w:rsidP="00C350E9">
            <w:pPr>
              <w:pStyle w:val="Textoindependiente"/>
              <w:spacing w:before="100" w:after="100"/>
              <w:jc w:val="both"/>
              <w:rPr>
                <w:rFonts w:ascii="Arial" w:hAnsi="Arial" w:cs="Arial"/>
              </w:rPr>
            </w:pPr>
            <w:r w:rsidRPr="00C350E9">
              <w:rPr>
                <w:rFonts w:ascii="Arial" w:hAnsi="Arial" w:cs="Arial"/>
                <w:lang w:val="es-MX"/>
              </w:rPr>
              <w:t xml:space="preserve">Según el artículo 228 de la Constitución Política -y en su desarrollo el art. 1 de la Ley 270 de 1996- la administración de justicia es una función pública mediante la cual el Estado se encarga de hacer efectivos los derechos, obligaciones, garantías y libertades consagrados en la Constitución y la Ley para lograr un estado óptimo de convivencia social; opera bajo el esquema de un funcionamiento desconcentrado y autónomo, característica de la que emana el que las decisiones de sus operadores sean independientes. </w:t>
            </w:r>
            <w:r w:rsidRPr="00C350E9">
              <w:rPr>
                <w:rFonts w:ascii="Arial" w:hAnsi="Arial" w:cs="Arial"/>
              </w:rPr>
              <w:t xml:space="preserve">La jurisdicción es facultad para declarar el derecho haciendo efectivos los derechos de las personas, concepto entendido aún bajo el análisis de sus raíces latinas </w:t>
            </w:r>
            <w:r w:rsidRPr="00C350E9">
              <w:rPr>
                <w:rFonts w:ascii="Arial" w:hAnsi="Arial" w:cs="Arial"/>
                <w:i/>
              </w:rPr>
              <w:t>juris</w:t>
            </w:r>
            <w:r w:rsidRPr="00C350E9">
              <w:rPr>
                <w:rFonts w:ascii="Arial" w:hAnsi="Arial" w:cs="Arial"/>
              </w:rPr>
              <w:t xml:space="preserve"> (derecho) y </w:t>
            </w:r>
            <w:r w:rsidRPr="00C350E9">
              <w:rPr>
                <w:rFonts w:ascii="Arial" w:hAnsi="Arial" w:cs="Arial"/>
                <w:i/>
              </w:rPr>
              <w:t xml:space="preserve">dicere </w:t>
            </w:r>
            <w:r w:rsidRPr="00C350E9">
              <w:rPr>
                <w:rFonts w:ascii="Arial" w:hAnsi="Arial" w:cs="Arial"/>
              </w:rPr>
              <w:t xml:space="preserve">(decir, dar). </w:t>
            </w:r>
          </w:p>
          <w:p w:rsidR="00C350E9" w:rsidRPr="00C350E9" w:rsidRDefault="00C350E9" w:rsidP="00C350E9">
            <w:pPr>
              <w:pStyle w:val="Textoindependiente"/>
              <w:spacing w:before="100" w:after="100"/>
              <w:jc w:val="both"/>
              <w:rPr>
                <w:rFonts w:ascii="Arial" w:hAnsi="Arial" w:cs="Arial"/>
                <w:lang w:val="es-MX"/>
              </w:rPr>
            </w:pPr>
          </w:p>
          <w:p w:rsidR="00C350E9" w:rsidRPr="00C350E9" w:rsidRDefault="00C350E9" w:rsidP="00C350E9">
            <w:pPr>
              <w:jc w:val="both"/>
              <w:rPr>
                <w:rFonts w:ascii="Arial" w:hAnsi="Arial" w:cs="Arial"/>
                <w:lang w:val="es-MX"/>
              </w:rPr>
            </w:pPr>
            <w:r w:rsidRPr="00C350E9">
              <w:rPr>
                <w:rFonts w:ascii="Arial" w:hAnsi="Arial" w:cs="Arial"/>
                <w:lang w:val="es-MX"/>
              </w:rPr>
              <w:t xml:space="preserve">La autonomía de la rama judicial es pilar del Estado Social de Derecho, pues si bien no es discutible la posibilidad de que todo ciudadano acuda a todas las instancias judiciales para hacer valer sus derechos, </w:t>
            </w:r>
            <w:r w:rsidRPr="00C350E9">
              <w:rPr>
                <w:rFonts w:ascii="Arial" w:hAnsi="Arial" w:cs="Arial"/>
                <w:b/>
                <w:lang w:val="es-MX"/>
              </w:rPr>
              <w:t xml:space="preserve"> </w:t>
            </w:r>
            <w:r w:rsidRPr="00C350E9">
              <w:rPr>
                <w:rFonts w:ascii="Arial" w:hAnsi="Arial" w:cs="Arial"/>
                <w:lang w:val="es-MX"/>
              </w:rPr>
              <w:t>no es dable admitir que se pretenda interferir en las decisiones de los Jueces, pues estos están atados a la efectividad de los derechos de los ciudadanos y el respeto por la legalidad objetiva.</w:t>
            </w:r>
          </w:p>
          <w:p w:rsidR="00C350E9" w:rsidRPr="00C350E9" w:rsidRDefault="00C350E9" w:rsidP="00C350E9">
            <w:pPr>
              <w:jc w:val="both"/>
              <w:rPr>
                <w:rFonts w:ascii="Arial" w:hAnsi="Arial" w:cs="Arial"/>
                <w:lang w:val="es-MX"/>
              </w:rPr>
            </w:pPr>
          </w:p>
          <w:p w:rsidR="00C350E9" w:rsidRPr="00C350E9" w:rsidRDefault="00C350E9" w:rsidP="00C350E9">
            <w:pPr>
              <w:jc w:val="both"/>
              <w:rPr>
                <w:rFonts w:ascii="Arial" w:hAnsi="Arial" w:cs="Arial"/>
                <w:lang w:val="es-MX"/>
              </w:rPr>
            </w:pPr>
            <w:r w:rsidRPr="00C350E9">
              <w:rPr>
                <w:rFonts w:ascii="Arial" w:hAnsi="Arial" w:cs="Arial"/>
                <w:lang w:val="es-MX"/>
              </w:rPr>
              <w:t xml:space="preserve">Por ello no es dable que en un Estado Social de Derecho se acepte que sea el </w:t>
            </w:r>
            <w:r w:rsidRPr="00C350E9">
              <w:rPr>
                <w:rFonts w:ascii="Arial" w:hAnsi="Arial" w:cs="Arial"/>
                <w:lang w:val="es-MX"/>
              </w:rPr>
              <w:lastRenderedPageBreak/>
              <w:t xml:space="preserve">Ejecutivo, o los medios de comunicación, la academia, los sindicatos, la iglesia, cualquier organización social o los propios ciudadanos, los que establezcan el sentido de las decisiones judiciales o que descalifiquen los pronunciamientos del Juez, más aún si se tiene en cuenta que el escenario de deliberación por excelencia es el proceso judicial. La administración de justicia y los Jueces están  al servicio del Estado y del ciudadano, pero no de su capricho y su subjetivo criterio. </w:t>
            </w:r>
          </w:p>
          <w:p w:rsidR="00C350E9" w:rsidRPr="00C350E9" w:rsidRDefault="00C350E9" w:rsidP="00C350E9">
            <w:pPr>
              <w:jc w:val="both"/>
              <w:rPr>
                <w:rFonts w:ascii="Arial" w:hAnsi="Arial" w:cs="Arial"/>
                <w:lang w:val="es-MX"/>
              </w:rPr>
            </w:pPr>
          </w:p>
          <w:p w:rsidR="00C350E9" w:rsidRPr="00C350E9" w:rsidRDefault="00C350E9" w:rsidP="00C350E9">
            <w:pPr>
              <w:jc w:val="both"/>
              <w:rPr>
                <w:rFonts w:ascii="Arial" w:hAnsi="Arial" w:cs="Arial"/>
                <w:lang w:val="es-MX"/>
              </w:rPr>
            </w:pPr>
            <w:r w:rsidRPr="00C350E9">
              <w:rPr>
                <w:rFonts w:ascii="Arial" w:hAnsi="Arial" w:cs="Arial"/>
                <w:lang w:val="es-MX"/>
              </w:rPr>
              <w:t>En este contexto es claro determinar que la naturaleza de la actividad de administración de justicia es caracterizada por el Constituyente como una función pública, es decir que se materializa a través de elementos autoritativos que implican mando tales como instrucciones, ordenes, sentencias, e.t.c. Por lo mismo no es dable calificarla función administrativa, concepto que tradicionalmente se ha relacionado con el de  “interés general”, cuya identificación  en su contenido tampoco es claro, tal como lo cita ALEJANDRO NIETO (1991. p. 2189, 2190):</w:t>
            </w:r>
          </w:p>
          <w:p w:rsidR="00C350E9" w:rsidRPr="00C350E9" w:rsidRDefault="00C350E9" w:rsidP="00C350E9">
            <w:pPr>
              <w:jc w:val="both"/>
              <w:rPr>
                <w:rFonts w:ascii="Arial" w:hAnsi="Arial" w:cs="Arial"/>
                <w:lang w:val="es-MX"/>
              </w:rPr>
            </w:pPr>
          </w:p>
          <w:p w:rsidR="00C350E9" w:rsidRPr="00C350E9" w:rsidRDefault="00C350E9" w:rsidP="00C350E9">
            <w:pPr>
              <w:ind w:left="567" w:right="618"/>
              <w:jc w:val="both"/>
              <w:rPr>
                <w:rFonts w:ascii="Arial" w:hAnsi="Arial" w:cs="Arial"/>
                <w:i/>
              </w:rPr>
            </w:pPr>
            <w:r w:rsidRPr="00C350E9">
              <w:rPr>
                <w:rFonts w:ascii="Arial" w:hAnsi="Arial" w:cs="Arial"/>
                <w:lang w:val="es-MX"/>
              </w:rPr>
              <w:t xml:space="preserve"> </w:t>
            </w:r>
            <w:r w:rsidRPr="00C350E9">
              <w:rPr>
                <w:rFonts w:ascii="Arial" w:hAnsi="Arial" w:cs="Arial"/>
                <w:i/>
                <w:lang w:val="es-MX"/>
              </w:rPr>
              <w:t>“</w:t>
            </w:r>
            <w:r w:rsidRPr="00C350E9">
              <w:rPr>
                <w:rFonts w:ascii="Arial" w:hAnsi="Arial" w:cs="Arial"/>
                <w:i/>
              </w:rPr>
              <w:t xml:space="preserve">Dentro de la reflexión sobre el contenido de este concepto, pueden señalarse las siguientes líneas dominantes: “a)  El dogmatismo, claramente minoritario, representado por algunos continuadores del pensamiento tradicional del bien común (todavía tomista como en Vallet de Goytisolo, o secularizado como en Duverger), o de dogmas políticos más modernos al estilo de la voluntad general rousseauniana; b)  El escepticismo, en el que se refugian quienes, sin negar la realidad del concepto, afirman la imposibilidad intelectual de su comprensión. Tal como formuló G. Timsit hace ya muchos años (Le rôle de la notion de la fonction administrative en droit administratif français, pág. 200…. O como ha insistido después Boulouis; c)  El nihilismo, muy extendido en la llamada “izquierda” de la ciencia política y de la del derecho público, quienes niegan radicalmente su existencia, y d)  Y, en fin, el existencialismo, que —naciendo del escepticismo y con la intención de superarlo— pretende salvar del naufragio conceptual, no ya el interés general como un abstracto absoluto, sino diversos intereses generales, condicionados por la coyuntura política y constitucional de cada momento (Pizzorusso, Sánchez Morón)”. </w:t>
            </w:r>
          </w:p>
          <w:p w:rsidR="00C350E9" w:rsidRPr="00C350E9" w:rsidRDefault="00C350E9" w:rsidP="00C350E9">
            <w:pPr>
              <w:spacing w:before="100" w:after="100"/>
              <w:jc w:val="both"/>
              <w:rPr>
                <w:rFonts w:ascii="Arial" w:hAnsi="Arial" w:cs="Arial"/>
              </w:rPr>
            </w:pPr>
          </w:p>
          <w:p w:rsidR="00C350E9" w:rsidRPr="00C350E9" w:rsidRDefault="00C350E9" w:rsidP="00C350E9">
            <w:pPr>
              <w:spacing w:before="100" w:after="100"/>
              <w:jc w:val="both"/>
              <w:rPr>
                <w:rFonts w:ascii="Arial" w:hAnsi="Arial" w:cs="Arial"/>
              </w:rPr>
            </w:pPr>
            <w:r w:rsidRPr="00C350E9">
              <w:rPr>
                <w:rFonts w:ascii="Arial" w:hAnsi="Arial" w:cs="Arial"/>
              </w:rPr>
              <w:t xml:space="preserve">La función administrativa es un concepto excluyente a lo que realiza el Estado, distinto a legislar y juzgar. Por ello, el aplicar las Leyes deslindando el  derecho subjetivo correspondiente a una persona (juzgar) no depende de lo que se predique como “interés general” para un sector de la sociedad pues la administración de justicia no obra </w:t>
            </w:r>
            <w:r w:rsidRPr="00C350E9">
              <w:rPr>
                <w:rFonts w:ascii="Arial" w:hAnsi="Arial" w:cs="Arial"/>
                <w:i/>
              </w:rPr>
              <w:t>para sí</w:t>
            </w:r>
            <w:r w:rsidRPr="00C350E9">
              <w:rPr>
                <w:rFonts w:ascii="Arial" w:hAnsi="Arial" w:cs="Arial"/>
              </w:rPr>
              <w:t xml:space="preserve">, sino que lo hace </w:t>
            </w:r>
            <w:r w:rsidRPr="00C350E9">
              <w:rPr>
                <w:rFonts w:ascii="Arial" w:hAnsi="Arial" w:cs="Arial"/>
                <w:i/>
              </w:rPr>
              <w:t>para terceros</w:t>
            </w:r>
            <w:r w:rsidRPr="00C350E9">
              <w:rPr>
                <w:rFonts w:ascii="Arial" w:hAnsi="Arial" w:cs="Arial"/>
              </w:rPr>
              <w:t xml:space="preserve"> en forma imparcial; lo contrario implicaría suponer que el “interés general” correspondería a lo que en su fuero interno entiende por tal el Juez, es decir a su postura subjetiva. </w:t>
            </w:r>
            <w:r w:rsidRPr="00C350E9">
              <w:rPr>
                <w:rFonts w:ascii="Arial" w:hAnsi="Arial" w:cs="Arial"/>
              </w:rPr>
              <w:lastRenderedPageBreak/>
              <w:t xml:space="preserve">Tal como lo menciona CARNELUTI en cita hecha por AZULA (2000, p. 134), la disparidad de intereses en disputa permite diferenciar los poderes ejecutivo y judicial, lo cual también puede predicarse de otros estamentos de la sociedad (iglesia, academia, medios de comunicación): </w:t>
            </w:r>
          </w:p>
          <w:p w:rsidR="00C350E9" w:rsidRPr="00C350E9" w:rsidRDefault="00C350E9" w:rsidP="00C350E9">
            <w:pPr>
              <w:spacing w:before="100" w:after="100"/>
              <w:ind w:left="851"/>
              <w:jc w:val="both"/>
              <w:rPr>
                <w:rFonts w:ascii="Arial" w:hAnsi="Arial" w:cs="Arial"/>
                <w:i/>
              </w:rPr>
            </w:pPr>
          </w:p>
          <w:p w:rsidR="00C350E9" w:rsidRPr="00C350E9" w:rsidRDefault="00C350E9" w:rsidP="00C350E9">
            <w:pPr>
              <w:spacing w:before="100" w:after="100"/>
              <w:ind w:left="567" w:right="616"/>
              <w:jc w:val="both"/>
              <w:rPr>
                <w:rFonts w:ascii="Arial" w:hAnsi="Arial" w:cs="Arial"/>
                <w:i/>
              </w:rPr>
            </w:pPr>
            <w:r w:rsidRPr="00C350E9">
              <w:rPr>
                <w:rFonts w:ascii="Arial" w:hAnsi="Arial" w:cs="Arial"/>
                <w:i/>
              </w:rPr>
              <w:t>“Para CARNELUTTI, la diferencia existe respecto del conflicto, por cuanto en el administrativo se manifiesta en forma interna, es decir que es Estado obra para sí, mientras que en el jurisdiccional lo hace de manera externa, o sea para resolver la disputa de otras personas. La disparidad en síntesis, estriba en que el Estado en la administración forma parte del conflicto y en la Jurisdicción es ajeno a este y solo interviene para solucionarlo.”</w:t>
            </w:r>
          </w:p>
          <w:p w:rsidR="00C350E9" w:rsidRPr="00C350E9" w:rsidRDefault="00C350E9" w:rsidP="00C350E9">
            <w:pPr>
              <w:pStyle w:val="Textoindependiente"/>
              <w:spacing w:before="100" w:after="100"/>
              <w:jc w:val="both"/>
              <w:rPr>
                <w:rFonts w:ascii="Arial" w:hAnsi="Arial" w:cs="Arial"/>
              </w:rPr>
            </w:pPr>
          </w:p>
          <w:p w:rsidR="00C350E9" w:rsidRPr="00C350E9" w:rsidRDefault="00C350E9" w:rsidP="00C350E9">
            <w:pPr>
              <w:pStyle w:val="Textoindependiente"/>
              <w:spacing w:before="100" w:after="100"/>
              <w:jc w:val="both"/>
              <w:rPr>
                <w:rFonts w:ascii="Arial" w:hAnsi="Arial" w:cs="Arial"/>
              </w:rPr>
            </w:pPr>
            <w:r w:rsidRPr="00C350E9">
              <w:rPr>
                <w:rFonts w:ascii="Arial" w:hAnsi="Arial" w:cs="Arial"/>
              </w:rPr>
              <w:t>CHIOVENDA (1925. p. 409) cita que en el acto de la jurisdicción se presenta una sustitución “... puesto que el Estado, al realizarlo, actúa en lugar de las partes y a fin de desatar la controversia existente entre ellas; mientras que en el administrativo obra de manera autónoma  y con base en la facultad impuesta por la ley, llevándose a cabo en forma semejante a como lo hace el particular respecto de un bien objeto de su propiedad”.</w:t>
            </w:r>
          </w:p>
          <w:p w:rsidR="00C350E9" w:rsidRPr="00C350E9" w:rsidRDefault="00C350E9" w:rsidP="00C350E9">
            <w:pPr>
              <w:spacing w:before="100" w:after="100"/>
              <w:jc w:val="both"/>
              <w:rPr>
                <w:rFonts w:ascii="Arial" w:hAnsi="Arial" w:cs="Arial"/>
              </w:rPr>
            </w:pPr>
          </w:p>
          <w:p w:rsidR="00C350E9" w:rsidRPr="00C350E9" w:rsidRDefault="00C350E9" w:rsidP="00C350E9">
            <w:pPr>
              <w:spacing w:before="100" w:after="100"/>
              <w:jc w:val="both"/>
              <w:rPr>
                <w:rFonts w:ascii="Arial" w:hAnsi="Arial" w:cs="Arial"/>
              </w:rPr>
            </w:pPr>
            <w:r w:rsidRPr="00C350E9">
              <w:rPr>
                <w:rFonts w:ascii="Arial" w:hAnsi="Arial" w:cs="Arial"/>
              </w:rPr>
              <w:t>La jurisdicción detenta en sí, la potestad jurídica mediante la cual un tercero imparcial decide un conflicto a él externo, lo que garantiza que el mismo se resuelva en forma imparcial, pues solo del juez se predica la necesaria terceridad y objetividad para resolver un conflicto. Contrario a lo anterior, como lo cita  BEATRIZ QUINTERO (1995. p. 68), la administración (y los demás estamentos sociales) posee un interés claramente determinable: “La actividad administrativa se realiza para el desenvolvimiento de un interés en conflicto por uno de los sujetos del mismo”. Es allí donde se hace necesaria la autonomía como pilar del ejercicio de la función judicial.</w:t>
            </w:r>
          </w:p>
          <w:p w:rsidR="00C350E9" w:rsidRPr="00C350E9" w:rsidRDefault="00C350E9" w:rsidP="00C350E9">
            <w:pPr>
              <w:spacing w:before="100" w:after="100"/>
              <w:jc w:val="both"/>
              <w:rPr>
                <w:rFonts w:ascii="Arial" w:hAnsi="Arial" w:cs="Arial"/>
              </w:rPr>
            </w:pPr>
          </w:p>
          <w:p w:rsidR="00C350E9" w:rsidRPr="00C350E9" w:rsidRDefault="00C350E9" w:rsidP="00C350E9">
            <w:pPr>
              <w:spacing w:before="100" w:after="100"/>
              <w:jc w:val="both"/>
              <w:rPr>
                <w:rFonts w:ascii="Arial" w:hAnsi="Arial" w:cs="Arial"/>
              </w:rPr>
            </w:pPr>
            <w:r w:rsidRPr="00C350E9">
              <w:rPr>
                <w:rFonts w:ascii="Arial" w:hAnsi="Arial" w:cs="Arial"/>
              </w:rPr>
              <w:t xml:space="preserve">Lo anterior deja a salvo la posibilidad que detentan instancias no pertenecientes a la rama judicial de administrar justicia en forma excepcional  en materias precisas, cuyo desarrollo se plantea a partir de los alcances que se le dan a los incisos 3 y 4 del artículo 116 de la Constitución Política, donde se establecen los organismos que administran justicia: </w:t>
            </w:r>
          </w:p>
          <w:p w:rsidR="00C350E9" w:rsidRPr="00C350E9" w:rsidRDefault="00C350E9" w:rsidP="00C350E9">
            <w:pPr>
              <w:spacing w:before="100" w:after="100"/>
              <w:ind w:left="426"/>
              <w:jc w:val="both"/>
              <w:rPr>
                <w:rFonts w:ascii="Arial" w:hAnsi="Arial" w:cs="Arial"/>
                <w:i/>
              </w:rPr>
            </w:pPr>
          </w:p>
          <w:p w:rsidR="00C350E9" w:rsidRPr="00C350E9" w:rsidRDefault="00C350E9" w:rsidP="00C350E9">
            <w:pPr>
              <w:spacing w:before="100" w:after="100"/>
              <w:ind w:left="567" w:right="616"/>
              <w:jc w:val="both"/>
              <w:rPr>
                <w:rFonts w:ascii="Arial" w:hAnsi="Arial" w:cs="Arial"/>
                <w:i/>
              </w:rPr>
            </w:pPr>
            <w:r w:rsidRPr="00C350E9">
              <w:rPr>
                <w:rFonts w:ascii="Arial" w:hAnsi="Arial" w:cs="Arial"/>
                <w:i/>
              </w:rPr>
              <w:t xml:space="preserve">“Excepcionalmente la ley podrá atribuir función jurisdiccional en materias precisas a determinadas autoridades administrativas. Sin embargo no les será permitido adelantar la instrucción de sumarios ni </w:t>
            </w:r>
            <w:r w:rsidRPr="00C350E9">
              <w:rPr>
                <w:rFonts w:ascii="Arial" w:hAnsi="Arial" w:cs="Arial"/>
                <w:i/>
              </w:rPr>
              <w:lastRenderedPageBreak/>
              <w:t xml:space="preserve">juzgar delitos. Los particulares pueden ser investidos transitoriamente de la función de administrar justicia en la condición de conciliadores o en la de árbitros habilitados por las partes para proferir fallos en derecho o en equidad, en los términos que determine la ley”. </w:t>
            </w:r>
          </w:p>
          <w:p w:rsidR="00C350E9" w:rsidRPr="00C350E9" w:rsidRDefault="00C350E9" w:rsidP="00C350E9">
            <w:pPr>
              <w:spacing w:before="100" w:after="100"/>
              <w:jc w:val="both"/>
              <w:rPr>
                <w:rFonts w:ascii="Arial" w:hAnsi="Arial" w:cs="Arial"/>
              </w:rPr>
            </w:pPr>
          </w:p>
          <w:p w:rsidR="00C350E9" w:rsidRPr="00C350E9" w:rsidRDefault="00C350E9" w:rsidP="00C350E9">
            <w:pPr>
              <w:spacing w:before="100" w:after="100"/>
              <w:jc w:val="both"/>
              <w:rPr>
                <w:rFonts w:ascii="Arial" w:hAnsi="Arial" w:cs="Arial"/>
              </w:rPr>
            </w:pPr>
            <w:r w:rsidRPr="00C350E9">
              <w:rPr>
                <w:rFonts w:ascii="Arial" w:hAnsi="Arial" w:cs="Arial"/>
              </w:rPr>
              <w:t xml:space="preserve">En el mismo sentido la Ley Estatutaria de Administración de Justicia en su artículo 13 expresa: </w:t>
            </w:r>
          </w:p>
          <w:p w:rsidR="00C350E9" w:rsidRPr="00C350E9" w:rsidRDefault="00C350E9" w:rsidP="00C350E9">
            <w:pPr>
              <w:spacing w:before="100" w:after="100"/>
              <w:jc w:val="both"/>
              <w:rPr>
                <w:rFonts w:ascii="Arial" w:hAnsi="Arial" w:cs="Arial"/>
                <w:i/>
              </w:rPr>
            </w:pPr>
          </w:p>
          <w:p w:rsidR="00C350E9" w:rsidRPr="00C350E9" w:rsidRDefault="00C350E9" w:rsidP="00C350E9">
            <w:pPr>
              <w:spacing w:before="100" w:after="100"/>
              <w:ind w:left="567" w:right="616"/>
              <w:jc w:val="both"/>
              <w:rPr>
                <w:rFonts w:ascii="Arial" w:hAnsi="Arial" w:cs="Arial"/>
                <w:i/>
              </w:rPr>
            </w:pPr>
            <w:r w:rsidRPr="00C350E9">
              <w:rPr>
                <w:rFonts w:ascii="Arial" w:hAnsi="Arial" w:cs="Arial"/>
                <w:i/>
              </w:rPr>
              <w:t xml:space="preserve">“El ejercicio de la función jurisdiccional por otras autoridades y por particulares: Ejercen función jurisdiccional de acuerdo con lo establecido en la Constitución Política: …2. Las autoridades administrativas, de acuerdo con las normas sobre competencia y procedimiento previstas en las leyes. Tales autoridades no podrán en ningún caso, realizar funciones de instrucción o juzgamiento de carácter penal”. </w:t>
            </w:r>
          </w:p>
          <w:p w:rsidR="00C350E9" w:rsidRPr="00C350E9" w:rsidRDefault="00C350E9" w:rsidP="00C350E9">
            <w:pPr>
              <w:spacing w:before="100" w:after="100"/>
              <w:jc w:val="both"/>
              <w:rPr>
                <w:rFonts w:ascii="Arial" w:hAnsi="Arial" w:cs="Arial"/>
              </w:rPr>
            </w:pPr>
          </w:p>
          <w:p w:rsidR="00C350E9" w:rsidRPr="00C350E9" w:rsidRDefault="00C350E9" w:rsidP="00C350E9">
            <w:pPr>
              <w:spacing w:before="100" w:after="100"/>
              <w:jc w:val="both"/>
              <w:rPr>
                <w:rFonts w:ascii="Arial" w:hAnsi="Arial" w:cs="Arial"/>
              </w:rPr>
            </w:pPr>
            <w:r w:rsidRPr="00C350E9">
              <w:rPr>
                <w:rFonts w:ascii="Arial" w:hAnsi="Arial" w:cs="Arial"/>
              </w:rPr>
              <w:t xml:space="preserve">El pronunciamiento autónomo e independiente del Juez contemporáneo también se justifica en el principio de separación de poderes, postulado creado por Montesquieau tomando como influencia a Tocqueville y Locke, a fin de mantener el espíritu liberal-democrático de autocontrol entre los poderes públicos. Su fin esencial es el de mantener un sistema de equilibrio y armonía basado en tres poderes únicos e independientes que se auto e íntercontrolen  recurriendo a un complejo sistema de pesos y contrapesos entre los mismos. La absoluta separación e independencia del Ejecutivo, Legislativo y Judicial permitieron la extirpación del Absolutismo que rigió en la sociedad europea de los siglos XIV, XV y XVI y son el fundamento estructural del actual Estado de Derecho. </w:t>
            </w:r>
          </w:p>
          <w:p w:rsidR="00C350E9" w:rsidRPr="00C350E9" w:rsidRDefault="00C350E9" w:rsidP="00C350E9">
            <w:pPr>
              <w:spacing w:before="100" w:after="100"/>
              <w:jc w:val="both"/>
              <w:rPr>
                <w:rFonts w:ascii="Arial" w:hAnsi="Arial" w:cs="Arial"/>
              </w:rPr>
            </w:pPr>
          </w:p>
          <w:p w:rsidR="00C350E9" w:rsidRPr="00C350E9" w:rsidRDefault="00C350E9" w:rsidP="00C350E9">
            <w:pPr>
              <w:spacing w:before="100" w:after="100"/>
              <w:jc w:val="both"/>
              <w:rPr>
                <w:rFonts w:ascii="Arial" w:hAnsi="Arial" w:cs="Arial"/>
              </w:rPr>
            </w:pPr>
            <w:r w:rsidRPr="00C350E9">
              <w:rPr>
                <w:rFonts w:ascii="Arial" w:hAnsi="Arial" w:cs="Arial"/>
              </w:rPr>
              <w:t xml:space="preserve">Dicho principio no se opone a la colaboración armónica entre poderes. Si bien es cierto que la tradicional separación y tridivisión de poderes no responde  al contexto moderno en razón a la complejidad en la estructura y finalidades del Estado moderno, no es menos cierto que cada una de las ramas que son cimiento del Estado de Derecho poseen su especialidad funcional. La reactualización de la doctrina de Montesquieau para adaptarla a las circunstancias actuales con el fin de hacer más tolerables y alcanzables los complicados  fines del Estado contemporáneo se da bajo el esquema de la colaboración armónica entre poderes, lo que le da mayor grado de flexibilidad a la operación de cada poder público. Si bien es acertada la interdisciplinariedad funcional en el marco del Estado moderno, nunca se podría afirmar en estricta técnica jurídica que por regla general la rama judicial o la administración expidan leyes o que el legislativo y la administración, también por regla general, juzguen, fallen y en general administren </w:t>
            </w:r>
            <w:r w:rsidRPr="00C350E9">
              <w:rPr>
                <w:rFonts w:ascii="Arial" w:hAnsi="Arial" w:cs="Arial"/>
              </w:rPr>
              <w:lastRenderedPageBreak/>
              <w:t>justicia</w:t>
            </w:r>
            <w:r w:rsidRPr="00C350E9">
              <w:rPr>
                <w:rFonts w:ascii="Arial" w:hAnsi="Arial" w:cs="Arial"/>
                <w:i/>
              </w:rPr>
              <w:t xml:space="preserve">. </w:t>
            </w:r>
            <w:r w:rsidRPr="00C350E9">
              <w:rPr>
                <w:rFonts w:ascii="Arial" w:hAnsi="Arial" w:cs="Arial"/>
              </w:rPr>
              <w:t xml:space="preserve"> </w:t>
            </w:r>
          </w:p>
          <w:p w:rsidR="00C350E9" w:rsidRPr="00E6164C" w:rsidRDefault="00C350E9" w:rsidP="00C350E9">
            <w:pPr>
              <w:ind w:left="720"/>
              <w:jc w:val="both"/>
              <w:rPr>
                <w:b/>
                <w:lang w:val="es-MX"/>
              </w:rPr>
            </w:pPr>
          </w:p>
          <w:p w:rsidR="00C350E9" w:rsidRDefault="00C350E9" w:rsidP="00D774F2">
            <w:pPr>
              <w:rPr>
                <w:rFonts w:ascii="Arial" w:hAnsi="Arial" w:cs="Arial"/>
                <w:color w:val="C00000"/>
                <w:sz w:val="20"/>
              </w:rPr>
            </w:pPr>
          </w:p>
          <w:p w:rsidR="00C350E9" w:rsidRDefault="00C350E9" w:rsidP="00D774F2">
            <w:pPr>
              <w:rPr>
                <w:rFonts w:ascii="Arial" w:hAnsi="Arial" w:cs="Arial"/>
                <w:color w:val="C00000"/>
                <w:sz w:val="20"/>
              </w:rPr>
            </w:pPr>
          </w:p>
          <w:p w:rsidR="00C350E9" w:rsidRPr="00D774F2" w:rsidRDefault="00C350E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DE3D09" w:rsidRPr="00C350E9" w:rsidRDefault="00C350E9" w:rsidP="000E5B8C">
            <w:pPr>
              <w:jc w:val="both"/>
              <w:rPr>
                <w:rFonts w:ascii="Arial" w:hAnsi="Arial" w:cs="Arial"/>
                <w:color w:val="C00000"/>
                <w:sz w:val="20"/>
              </w:rPr>
            </w:pPr>
            <w:r w:rsidRPr="00C350E9">
              <w:rPr>
                <w:rFonts w:ascii="Arial" w:hAnsi="Arial" w:cs="Arial"/>
              </w:rPr>
              <w:t>La metodología que se va a utilizar en la cátedra, no va a ser simplemente magistral, sino que se va a fomentar la participación de los alumnos, a través de intervenciones orales, exposiciones, mesas redondas, análisis de Jurisprudencia, confrontación de ideas, ensayos, trabajos de investigación, etc.</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822A79" w:rsidRPr="00804A19" w:rsidRDefault="00822A79" w:rsidP="00822A79">
            <w:pPr>
              <w:ind w:left="720"/>
              <w:contextualSpacing/>
              <w:jc w:val="both"/>
              <w:rPr>
                <w:rFonts w:ascii="Arial" w:hAnsi="Arial" w:cs="Arial"/>
              </w:rPr>
            </w:pPr>
            <w:r w:rsidRPr="00804A19">
              <w:rPr>
                <w:rFonts w:ascii="Arial" w:hAnsi="Arial" w:cs="Arial"/>
              </w:rPr>
              <w:t>Para el trabajo presencial: un 60%, correspondiente a un 10% por la realización de controles en clase a las lecturas asignadas, un 10% por participación activa en las discusiones, paneles o debates adelantados dentro de las clases y un 40% para la evaluación general de la asignatura.</w:t>
            </w:r>
          </w:p>
          <w:p w:rsidR="00822A79" w:rsidRPr="00804A19" w:rsidRDefault="00822A79" w:rsidP="00822A79">
            <w:pPr>
              <w:ind w:left="720"/>
              <w:contextualSpacing/>
              <w:jc w:val="both"/>
              <w:rPr>
                <w:rFonts w:ascii="Arial" w:hAnsi="Arial" w:cs="Arial"/>
              </w:rPr>
            </w:pPr>
            <w:r w:rsidRPr="00804A19">
              <w:rPr>
                <w:rFonts w:ascii="Arial" w:hAnsi="Arial" w:cs="Arial"/>
              </w:rPr>
              <w:t>Para la tutoría: un 20% correspondiente al desarrollo y sustentación de las guías asignadas.</w:t>
            </w:r>
          </w:p>
          <w:p w:rsidR="00822A79" w:rsidRDefault="00822A79" w:rsidP="00822A79">
            <w:pPr>
              <w:ind w:left="720"/>
              <w:contextualSpacing/>
              <w:jc w:val="both"/>
              <w:rPr>
                <w:rFonts w:ascii="Arial" w:hAnsi="Arial" w:cs="Arial"/>
              </w:rPr>
            </w:pPr>
            <w:r w:rsidRPr="00804A19">
              <w:rPr>
                <w:rFonts w:ascii="Arial" w:hAnsi="Arial" w:cs="Arial"/>
              </w:rPr>
              <w:t>Para el trabajo independiente: un 20% por el desarrollo de talleres, trabajos escritos o análisis de textos.</w:t>
            </w:r>
          </w:p>
          <w:p w:rsidR="00822A79" w:rsidRDefault="00822A79" w:rsidP="00822A79">
            <w:pPr>
              <w:ind w:left="720"/>
              <w:contextualSpacing/>
              <w:jc w:val="both"/>
              <w:rPr>
                <w:rFonts w:ascii="Arial" w:hAnsi="Arial" w:cs="Arial"/>
              </w:rPr>
            </w:pPr>
          </w:p>
          <w:p w:rsidR="007F422F" w:rsidRPr="009E48C7" w:rsidRDefault="007F422F" w:rsidP="002413AC">
            <w:pPr>
              <w:pStyle w:val="Prrafodelista"/>
              <w:ind w:left="0"/>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04B80" w:rsidRDefault="00604B80" w:rsidP="00CC21F3">
            <w:pPr>
              <w:rPr>
                <w:rFonts w:ascii="Arial" w:hAnsi="Arial" w:cs="Arial"/>
                <w:b/>
                <w:color w:val="0F243E" w:themeColor="text2" w:themeShade="80"/>
              </w:rPr>
            </w:pPr>
          </w:p>
          <w:p w:rsidR="00604B80" w:rsidRDefault="00604B80" w:rsidP="00CC21F3">
            <w:pPr>
              <w:rPr>
                <w:rFonts w:ascii="Arial" w:hAnsi="Arial" w:cs="Arial"/>
                <w:b/>
                <w:color w:val="0F243E" w:themeColor="text2" w:themeShade="80"/>
              </w:rPr>
            </w:pPr>
          </w:p>
          <w:p w:rsidR="00604B80" w:rsidRPr="008C4814" w:rsidRDefault="00604B80" w:rsidP="00604B80">
            <w:pPr>
              <w:rPr>
                <w:rFonts w:ascii="Arial" w:hAnsi="Arial" w:cs="Arial"/>
              </w:rPr>
            </w:pPr>
            <w:r w:rsidRPr="008C4814">
              <w:rPr>
                <w:rFonts w:ascii="Arial" w:hAnsi="Arial" w:cs="Arial"/>
              </w:rPr>
              <w:t>Ahumada Ramos, Francisco Javier de. Materiales para el estudio del derecho administrativo económico. Madrid. Dykinson. 2001.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Araujo Oñate, Rocío Mercedes. “La justicia administrativa en la Constitución Política de 1991” En: A.A.V.V. Retos y perspectivas de derecho administrativo. Bogotá. Ed. Universidad del Rosario. 2009.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Arboleda Perdomo, Enrique José. Comentarios al Nuevo Código de Procedimiento Administrativo y de los Contencioso Administrativo. Bogotá. Legis, 2011.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Arias Garcia, Fernando. “Estudios de Derecho Procesal Administrativo. Ley 1437 de 2011 y Código Generald el Proceso”. Ibañez. 2013.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Azula Camacho, Jaime. Manual de Derecho Procesal Civil, Tomo I. 3ª Ed. Bogotá. </w:t>
            </w:r>
            <w:r w:rsidRPr="008C4814">
              <w:rPr>
                <w:rFonts w:ascii="Arial" w:hAnsi="Arial" w:cs="Arial"/>
              </w:rPr>
              <w:lastRenderedPageBreak/>
              <w:t xml:space="preserve">Temis. 1999.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Baca Oneto, Víctor Sebastián. “Derecho Administrativo Contemporáneo”. En A.A.V.V. Ponencias del II Congreso de Derecho Administrativo Procedimiento administrativo. Palestra. Lima. 2010.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Baracaldo. Diego A. “El enriquecimiento sin causa en la jurisprudencia contenciosa administrativa”. En A.A.V.V. Interpretación jurisprudencial desde la perspectiva de los jueces y juezas en Colombia. Área administrativa. Bogotá. Consejo Superior de la Judicatura. 2009.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Bastidas Bárcenas, Hugo Fernando. “Los medios de control en la Ley 1437 de 2011”. En: A.A.V.V. Memorias. Seminario Internacional de presentación del Nuevo Código de Procedimiento Administrativo y Contencioso Administrativo. Bogotá. Consejo de Estado. 2011.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Benavides, José Luis. El Contrato Estatal. Entre el derecho público y el privado. Bogotá. Universidad Externado de Colombia. 2004.</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Betancur Jaramillo, Carlos. Derecho Procesal Administrativo. Bogotá. Señal Editora. 7 ed. 2009.</w:t>
            </w:r>
          </w:p>
          <w:p w:rsidR="00604B80" w:rsidRDefault="00604B80" w:rsidP="00604B80">
            <w:pPr>
              <w:rPr>
                <w:rFonts w:ascii="Arial" w:hAnsi="Arial" w:cs="Arial"/>
              </w:rPr>
            </w:pP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Botero Marino, Catalina. La acción de tutela en el ordenamiento constitucional colombiano. Consejo Superior de la Judicatura. Escuela Judicial Rodrigo Lara Bonilla. 2006.</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Camargo, Pedro Pablo. Las acciones populares y de grupo. Bogotá. Ed. Leyer. 2006. </w:t>
            </w:r>
          </w:p>
          <w:p w:rsidR="00604B80" w:rsidRPr="008C4814" w:rsidRDefault="00604B80" w:rsidP="00604B80">
            <w:pPr>
              <w:rPr>
                <w:rFonts w:ascii="Arial" w:hAnsi="Arial" w:cs="Arial"/>
              </w:rPr>
            </w:pPr>
            <w:r w:rsidRPr="008C4814">
              <w:rPr>
                <w:rFonts w:ascii="Arial" w:hAnsi="Arial" w:cs="Arial"/>
              </w:rPr>
              <w:t xml:space="preserve">Camargo, Pedro Pablo. Manual de la acción de tutela. Bogotá. Jurídica Radar Ediciones. 1994.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Cassagne, Juan Carlos. El Derecho Administrativo Iberoamericano. Madrid. INAP. 2005.</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Cassagne, Juan Carlos. Derecho Administrativo Tomo II. Buenos Aires: LexisNexis - Abeledo-Perrot. 2010.</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Caupers, João. “Ao direito administrativo portugués”. En: A.A.V.V. El derecho administrativo iberoamericano. Madrid. INAP. 2005.</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Chavarro colpas, Roberto Mario. Introducción al nuevo proceso contencioso administrativo. Librería Jurídica Sánchez. 2013.</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Chavez Marín, Augusto Ramón. “Teoría de los Motivos y Finalidades: estado actual y controversia por su aplicación”. En A.A.V.V. Temas de Derecho Administrativo Contemporáneo. Bogotá. Ed. Universidad del Rosario. 2005.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Chiovenda, Giuseppe. Principios de Derecho Procesal Civil. Tomo I Madrid. Instituto Editorial Reus. 1925.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Correa Henao, Néstor Raúl. Derecho Procesal de la acción popular. Bogotá. Ed. Ibañez-Universidad Javeriana. 2009.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Correa Henao, Néstor Raúl. Derecho Procesal de la acción de Tutela. Ibáñez-Universidad Javeriana. 2009.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Diez, Manuel María. El acto administrativo. Buenos Aires. TEA. 2ª ed. 1961.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Dromi, Roberto. Acto Administrativo. Buenos Aires. Ed. Ciudad Argentina. Buenos Aires. 2008.</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Dromi, Roberto. Derecho Administrativo. Ed. Ciudad Argentina. 9 ed. Buenos Aires. 2001.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Expósito Vélez, Juan Carlos. “El Nuevo Código de Procedimiento Administrativo y de lo Contencioso Administrativo (Ley 1.437 de 2.011) requiere de un análisis profundo, debido al nuevo alcance que trae a figuras tradicionales del Derecho Administrativo colombiano: la nulidad, nulidad y restablecimiento del derecho y las denominadas controversias contractuales”. En A.A.V.V.: Revista Digital de Derecho Administrativo. No: 6. Bogota. Universidad Externado de Colombia. 2011.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Forsthoff, Ernst. Traité de Droit Administratif Allemand. trad. </w:t>
            </w:r>
            <w:r w:rsidRPr="003D4769">
              <w:rPr>
                <w:rFonts w:ascii="Arial" w:hAnsi="Arial" w:cs="Arial"/>
                <w:lang w:val="en-US"/>
              </w:rPr>
              <w:t xml:space="preserve">Michel Fromont, Bruxelles, Emile Bruylant. </w:t>
            </w:r>
            <w:r w:rsidRPr="008C4814">
              <w:rPr>
                <w:rFonts w:ascii="Arial" w:hAnsi="Arial" w:cs="Arial"/>
              </w:rPr>
              <w:t>1969.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Fraga, Gabino. Derecho Administrativo. 2ª ed. Ed. Porrúa. México. 1968.</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Garcia De Enterria, Eduardo y Fernandez, Tomas Ramon. Curso de Derecho Administrativo Tomo I, Madrid, Civitas. 1989.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Garrido Falla, Fernando. Tratado De Derecho Administrativo. Madrid. Tecnos. 1973.</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Gil Botero, Enrique. Responsabilidad Extracontractual del Estado. Bogotá. Ed. Gustavo Ibáñez. 2010.</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lastRenderedPageBreak/>
              <w:t>Gomez Cardona, Efraín. La Responsabilidad del Estado en la nueva Constitución. Bogotá. Dike. 1995.</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Gonzalez Rey, Sergio. “La teoría de los móviles y finalidades, ¿inexequibilidad de una interpretación?”. En: A.A.V.V. Anuario de Derecho Constitucional. Bogotá. Universidad Externado de Colombia. 2004.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Gonzalez Rodriguez, Miguel. Derecho Procesal Administrativo. Bogotá. Ed. Ibañez. 10 reimp. 2002.</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Gordillo, Agustín. Tratado de Derecho Administrativo, Tomo 3, Ed. FDA, 8- edición. 2003.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Gordillo, Agustín. El acto administrativo. Ed. Macchi. Buenos Aires. 1979.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Guecha Medina, Ciro Norberto. Derecho Procesal Administrativo. Tunja. Universidad Santo Tomas de Aquino. Ed. Gustavo Ibáñez. 2008.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Guecha Medina, Ciro. Responsabilidad del Estado por actos de terrorismo. Tunja. Universidad Santo Tomas de Aquino. Ed. Gustavo Ibáñez. 2012.</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Henao, Juan Carlos. El daño. Bogotá. Universidad Externado de Colombia. 1998.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Hinestrosa Forero, Fernando. Tratado de Obligaciones, Tomo I. Bogotá. Universidad Externado de Colombia. 2002.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Lamprea Rodríguez, Pedro Antonio. Anulación de los Actos de la Administración Pública. Ed. Doctrina y Ley. Bogotá. 1996.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Lopez Cardenas, Carlos Mauricio. La acción de grupo. Reparación por violación a los Derechos Humanos. Bogotá. Universidad del Rosario. 2011.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Lopez Medina, Diego. El Derecho de los Jueces. Legis. Bogotá. 2006.</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Matallana Camacho, Ernesto. Manual de Contratación de la Administración Pública. Bogotá. Universidad Externado de Colombia. 2009.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Molina Betancur, Carlos Mario. “El rol institucional de la Corte Constitucional”. En: Revista de derecho de la división de ciencias jurídicas. No 28. Universidad del Norte. 2007. http://doctrina.vlex.com.co/vid/rol-institucional-corte-constitucional-1442636.</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Molina Betancur, Carlos Mario. “Grandes aportes del Consejo de Estado </w:t>
            </w:r>
            <w:r w:rsidRPr="008C4814">
              <w:rPr>
                <w:rFonts w:ascii="Arial" w:hAnsi="Arial" w:cs="Arial"/>
              </w:rPr>
              <w:lastRenderedPageBreak/>
              <w:t>Colombiano” En: A.A.V.V. Retos y perspectivas de derecho administrativo. Bogota. Ed. Universidad Del Rosario. 2009.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Montero Aroca, Juan y Ortells Ramos, Manuel. Derecho Jurisdiccional, I Parte General. Bosch. Barcelona. 1987.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Montaña Plata, Alberto. El concepto de servicio público en el Derecho Administrativo. Bogotá. Universidad Externado de Colombia. 2002.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Morales Molina, Hernando. Curso de Derecho Procesal Civil. Editorial ABC. 9 ed. Bogotá. 1985.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Munar Castellanos, Lucelly Rocío y Ortiz Arciniegas, Luis Roberto. Nuevo Régimen Administrativo Especial y Procesal. Comentarios al Código de Procedimiento Administrativo y de los Contencioso Administrativo. Bogotá. Universidad Católica de Colombia. 2011.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Nava Negrete, Alfonso. Derecho Administrativo Mexicano. México. Fondo de Cultura Económica. 2011.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Nieto, Alejandro. “La Administración Sirve con Objetividad los Intereses Generales”. En A.A.V.V. Estudios Sobre la Constitución Española, Homenaje al Profesor Eduardo García de Enterría, tomo III. Editorial Civitas. 1991.</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Ochoa, Yenny Carolina. “El control de constitucionalidad por vía de excepción: un mecanismo que garantiza la supremacía e integridad de la Constitución”. En: Revista Principia Iuris. No 14. Julio de 2010. Tunja .Universidad Santo Tomas de Aquino.</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Palacio Hincapie, Juan ángel. Derecho Procesal Administrativo. Bogotá. Librería Jurídica Sánchez. 7ª ed. 2010.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Parejo Alfonso, Luciano. Manual de derecho administrativo, Vol. I. Barcelona. Ariel. 1998.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Penagos, Gustavo. El acto administrativo. Bogotá. 4 ed. Ed. El Profesional. 1987.</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Quintero, Beatriz y Prieto, Eugenio. Teoría General del Proceso, Tomo I. Santa Fe de Bogotá. Editorial Temis.1ª Edición.1995.235 I. Estudio preliminar medios de control contencioso-administrativos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Ramirez Arcila, Carlos. Acción y Acumulación de Pretensiones. Bogotá. Edit. Temis. 1978.</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Ramirez Sandoval, Héctor; Alzate López, Jhon Jairo, y Obando Montes, Yolanda. “Restablecimiento del derecho en condenas laborales”. En A.A.V.V.: Interpretación jurisprudencial desde la perspectiva de los jueces y juezas en Colombia. Área administrativa. Consejo Superior de la Judicatura. 2009.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Rey Moreno, Héctor Enrique. Manual Teórico-Práctico de derecho electoral colombiano. Bogotá. Ed. Ibáñez. 2009.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Rivero, Jean. Droit administratif. Dailoz. Paris. 1968.</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Rojas Arbeláez, Gabriel. El Espíritu del Derecho Administrativo. Bogotá. Temis. 1972.</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Rodriguez, Gustavo Humberto. Proceso Contencioso Administrativo. Bogotá. Librería Jurídica Wilches. 1986.</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Rodriguez Huertas, Olivo. La validez de los actos del funcionario de hecho. Gaceta Judicial. Diciembre 2000. En: http://vlex.com/vid/360763766</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Saavedra Becerra, Ramiro. La responsabilidad extracontractual de la administración pública. Bogotá. Ed.: Ibáñez. 2008.</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Santofimio Gamboa, Jaime Orlando. Tratado de Derecho Administrativo. Tomo I. Bogotá. Universidad Externado de Colombia. 1998.</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Santofimio Gamboa, Jaime Orlando. Tratado de Derecho Administrativo. Tomo II. Acto Administrativo. Bogotá. Universidad Externado de Colombia. 2003.</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Santofimio Gamboa, Jaime Orlando. Tratado de Derecho Administrativo. Tomo III. Contencioso Administrativo. Bogotá. Universidad Externado de Colombia. 2004.</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Santofimio Gamboa, Jaime Orlando. Panorama general del Derecho Administrativo en Colombia. Coloquio sobre Derecho Administrativo Iberoamericano. Universidad de Alicante. Alicante. 2004.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Sayagués Laso, Enrique. Tratado de Derecho Administrativo. Montevideo. Ed: Barreiro y Ramos. 1974.</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 xml:space="preserve">Torres Cuervo, Mauricio. “El contencioso electoral en el nuevo Código de Procedimiento Administrativo y de lo Contencioso Administrativo”. En: A.A.V.V. Memorias. Seminario Internacional de presentación del Nuevo Código de Procedimiento Administrativo y Contencioso Administrativo. Bogotá. Consejo de </w:t>
            </w:r>
            <w:r w:rsidRPr="008C4814">
              <w:rPr>
                <w:rFonts w:ascii="Arial" w:hAnsi="Arial" w:cs="Arial"/>
              </w:rPr>
              <w:lastRenderedPageBreak/>
              <w:t xml:space="preserve">Estado. 2011. 236 Fernando Arias García </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Urueta, Manuel Santiago. “Evolución del objeto de la jurisdicción contencioso administrativa en Colombia”. En: A.A.V.V. Retos y perspectivas del derecho administrativo. Restrepo Medina, Manuel Alberto - Editor académico. Universidad de Rosario. 2009.</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Vanegas Mutis, Andrés. La contratación estatal. Análisis y perspectivas. Bogotá. Universidad Javeriana. 2000.</w:t>
            </w:r>
          </w:p>
          <w:p w:rsidR="00604B80" w:rsidRDefault="00604B80" w:rsidP="00604B80">
            <w:pPr>
              <w:rPr>
                <w:rFonts w:ascii="Arial" w:hAnsi="Arial" w:cs="Arial"/>
              </w:rPr>
            </w:pPr>
          </w:p>
          <w:p w:rsidR="00604B80" w:rsidRPr="008C4814" w:rsidRDefault="00604B80" w:rsidP="00604B80">
            <w:pPr>
              <w:rPr>
                <w:rFonts w:ascii="Arial" w:hAnsi="Arial" w:cs="Arial"/>
              </w:rPr>
            </w:pPr>
            <w:r w:rsidRPr="008C4814">
              <w:rPr>
                <w:rFonts w:ascii="Arial" w:hAnsi="Arial" w:cs="Arial"/>
              </w:rPr>
              <w:t>Vial Del Rio, Víctor. Teoría General del acto jurídico. Santiago. Editorial Jurídica de Chile. 2011.</w:t>
            </w:r>
          </w:p>
          <w:p w:rsidR="00604B80" w:rsidRPr="007F40E6" w:rsidRDefault="00604B80"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9D3B04" w:rsidRDefault="009D3B04" w:rsidP="00CC21F3">
            <w:pPr>
              <w:rPr>
                <w:rFonts w:ascii="Arial" w:hAnsi="Arial" w:cs="Arial"/>
                <w:b/>
                <w:color w:val="0F243E" w:themeColor="text2" w:themeShade="80"/>
              </w:rPr>
            </w:pPr>
          </w:p>
          <w:p w:rsidR="00D46339" w:rsidRDefault="00D46339" w:rsidP="00CC21F3">
            <w:pPr>
              <w:rPr>
                <w:rFonts w:ascii="Arial" w:hAnsi="Arial" w:cs="Arial"/>
                <w:b/>
                <w:color w:val="0F243E" w:themeColor="text2" w:themeShade="80"/>
              </w:rPr>
            </w:pPr>
          </w:p>
          <w:p w:rsidR="00D46339" w:rsidRPr="00C6539E" w:rsidRDefault="00D46339" w:rsidP="00CC21F3">
            <w:pPr>
              <w:rPr>
                <w:rFonts w:ascii="Arial" w:hAnsi="Arial" w:cs="Arial"/>
                <w:b/>
                <w:color w:val="0F243E" w:themeColor="text2" w:themeShade="80"/>
              </w:rPr>
            </w:pPr>
            <w:r w:rsidRPr="0035312C">
              <w:rPr>
                <w:rFonts w:ascii="Arial" w:hAnsi="Arial" w:cs="Arial"/>
                <w:b/>
              </w:rPr>
              <w:t xml:space="preserve">Video </w:t>
            </w:r>
            <w:r w:rsidR="0035312C">
              <w:rPr>
                <w:rFonts w:ascii="Arial" w:hAnsi="Arial" w:cs="Arial"/>
                <w:b/>
              </w:rPr>
              <w:t>b</w:t>
            </w:r>
            <w:r w:rsidRPr="0035312C">
              <w:rPr>
                <w:rFonts w:ascii="Arial" w:hAnsi="Arial" w:cs="Arial"/>
                <w:b/>
              </w:rPr>
              <w:t>ean, libros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D46339" w:rsidRDefault="00D46339" w:rsidP="00CC21F3">
            <w:pPr>
              <w:rPr>
                <w:rFonts w:ascii="Arial" w:hAnsi="Arial" w:cs="Arial"/>
                <w:b/>
                <w:color w:val="0F243E" w:themeColor="text2" w:themeShade="80"/>
              </w:rPr>
            </w:pPr>
          </w:p>
          <w:p w:rsidR="00D46339" w:rsidRPr="0035312C" w:rsidRDefault="00D46339" w:rsidP="00CC21F3">
            <w:pPr>
              <w:rPr>
                <w:rFonts w:ascii="Arial" w:hAnsi="Arial" w:cs="Arial"/>
                <w:b/>
              </w:rPr>
            </w:pPr>
            <w:r w:rsidRPr="0035312C">
              <w:rPr>
                <w:rFonts w:ascii="Arial" w:hAnsi="Arial" w:cs="Arial"/>
                <w:b/>
              </w:rPr>
              <w:t>Video bean</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79B" w:rsidRDefault="00D0679B">
      <w:r>
        <w:separator/>
      </w:r>
    </w:p>
  </w:endnote>
  <w:endnote w:type="continuationSeparator" w:id="0">
    <w:p w:rsidR="00D0679B" w:rsidRDefault="00D0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F14FC" w:rsidP="00F60130">
                          <w:pPr>
                            <w:jc w:val="center"/>
                            <w:rPr>
                              <w:rFonts w:ascii="Myriad Pro" w:hAnsi="Myriad Pro"/>
                              <w:b/>
                              <w:sz w:val="16"/>
                              <w:szCs w:val="16"/>
                            </w:rPr>
                          </w:pPr>
                        </w:p>
                        <w:p w:rsidR="00133C1C" w:rsidRDefault="009F14FC"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F1CE3" w:rsidP="00F60130">
                    <w:pPr>
                      <w:jc w:val="center"/>
                      <w:rPr>
                        <w:rFonts w:ascii="Myriad Pro" w:hAnsi="Myriad Pro"/>
                        <w:b/>
                        <w:sz w:val="16"/>
                        <w:szCs w:val="16"/>
                      </w:rPr>
                    </w:pPr>
                  </w:p>
                  <w:p w:rsidR="00133C1C" w:rsidRDefault="00CF1CE3"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79B" w:rsidRDefault="00D0679B">
      <w:r>
        <w:separator/>
      </w:r>
    </w:p>
  </w:footnote>
  <w:footnote w:type="continuationSeparator" w:id="0">
    <w:p w:rsidR="00D0679B" w:rsidRDefault="00D06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F14F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D4769">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D4769">
                              <w:rPr>
                                <w:rFonts w:ascii="Tahoma" w:hAnsi="Tahoma" w:cs="Tahoma"/>
                                <w:bCs/>
                                <w:noProof/>
                                <w:sz w:val="14"/>
                                <w:szCs w:val="12"/>
                              </w:rPr>
                              <w:t>16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D4769">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D4769">
                        <w:rPr>
                          <w:rFonts w:ascii="Tahoma" w:hAnsi="Tahoma" w:cs="Tahoma"/>
                          <w:bCs/>
                          <w:noProof/>
                          <w:sz w:val="14"/>
                          <w:szCs w:val="12"/>
                        </w:rPr>
                        <w:t>16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F14F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B027105"/>
    <w:multiLevelType w:val="hybridMultilevel"/>
    <w:tmpl w:val="F768F408"/>
    <w:lvl w:ilvl="0" w:tplc="BA1A2F18">
      <w:start w:val="8"/>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2"/>
  </w:num>
  <w:num w:numId="4">
    <w:abstractNumId w:val="43"/>
  </w:num>
  <w:num w:numId="5">
    <w:abstractNumId w:val="36"/>
  </w:num>
  <w:num w:numId="6">
    <w:abstractNumId w:val="23"/>
  </w:num>
  <w:num w:numId="7">
    <w:abstractNumId w:val="40"/>
  </w:num>
  <w:num w:numId="8">
    <w:abstractNumId w:val="29"/>
  </w:num>
  <w:num w:numId="9">
    <w:abstractNumId w:val="5"/>
  </w:num>
  <w:num w:numId="10">
    <w:abstractNumId w:val="28"/>
  </w:num>
  <w:num w:numId="11">
    <w:abstractNumId w:val="13"/>
  </w:num>
  <w:num w:numId="12">
    <w:abstractNumId w:val="9"/>
  </w:num>
  <w:num w:numId="13">
    <w:abstractNumId w:val="41"/>
  </w:num>
  <w:num w:numId="14">
    <w:abstractNumId w:val="30"/>
  </w:num>
  <w:num w:numId="15">
    <w:abstractNumId w:val="7"/>
  </w:num>
  <w:num w:numId="16">
    <w:abstractNumId w:val="26"/>
  </w:num>
  <w:num w:numId="17">
    <w:abstractNumId w:val="22"/>
  </w:num>
  <w:num w:numId="18">
    <w:abstractNumId w:val="42"/>
  </w:num>
  <w:num w:numId="19">
    <w:abstractNumId w:val="38"/>
  </w:num>
  <w:num w:numId="20">
    <w:abstractNumId w:val="21"/>
  </w:num>
  <w:num w:numId="21">
    <w:abstractNumId w:val="37"/>
  </w:num>
  <w:num w:numId="22">
    <w:abstractNumId w:val="8"/>
  </w:num>
  <w:num w:numId="23">
    <w:abstractNumId w:val="20"/>
  </w:num>
  <w:num w:numId="24">
    <w:abstractNumId w:val="24"/>
  </w:num>
  <w:num w:numId="25">
    <w:abstractNumId w:val="19"/>
  </w:num>
  <w:num w:numId="26">
    <w:abstractNumId w:val="27"/>
  </w:num>
  <w:num w:numId="27">
    <w:abstractNumId w:val="2"/>
  </w:num>
  <w:num w:numId="28">
    <w:abstractNumId w:val="3"/>
  </w:num>
  <w:num w:numId="29">
    <w:abstractNumId w:val="11"/>
  </w:num>
  <w:num w:numId="30">
    <w:abstractNumId w:val="4"/>
  </w:num>
  <w:num w:numId="31">
    <w:abstractNumId w:val="34"/>
  </w:num>
  <w:num w:numId="32">
    <w:abstractNumId w:val="33"/>
  </w:num>
  <w:num w:numId="33">
    <w:abstractNumId w:val="14"/>
  </w:num>
  <w:num w:numId="34">
    <w:abstractNumId w:val="15"/>
  </w:num>
  <w:num w:numId="35">
    <w:abstractNumId w:val="1"/>
  </w:num>
  <w:num w:numId="36">
    <w:abstractNumId w:val="39"/>
  </w:num>
  <w:num w:numId="37">
    <w:abstractNumId w:val="16"/>
  </w:num>
  <w:num w:numId="38">
    <w:abstractNumId w:val="10"/>
  </w:num>
  <w:num w:numId="39">
    <w:abstractNumId w:val="12"/>
  </w:num>
  <w:num w:numId="40">
    <w:abstractNumId w:val="18"/>
  </w:num>
  <w:num w:numId="41">
    <w:abstractNumId w:val="0"/>
  </w:num>
  <w:num w:numId="42">
    <w:abstractNumId w:val="31"/>
  </w:num>
  <w:num w:numId="43">
    <w:abstractNumId w:val="25"/>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71B26"/>
    <w:rsid w:val="00082EE3"/>
    <w:rsid w:val="000974B1"/>
    <w:rsid w:val="000B4495"/>
    <w:rsid w:val="000D5DD4"/>
    <w:rsid w:val="000E5B8C"/>
    <w:rsid w:val="001045BF"/>
    <w:rsid w:val="00114DDE"/>
    <w:rsid w:val="00133BD9"/>
    <w:rsid w:val="001434AF"/>
    <w:rsid w:val="0015247C"/>
    <w:rsid w:val="001B7672"/>
    <w:rsid w:val="001D5BBE"/>
    <w:rsid w:val="001D68CF"/>
    <w:rsid w:val="00244DD7"/>
    <w:rsid w:val="0026451A"/>
    <w:rsid w:val="002B775E"/>
    <w:rsid w:val="002F5ABD"/>
    <w:rsid w:val="0035312C"/>
    <w:rsid w:val="00365D73"/>
    <w:rsid w:val="00373F2F"/>
    <w:rsid w:val="003C589F"/>
    <w:rsid w:val="003D4769"/>
    <w:rsid w:val="003E50B7"/>
    <w:rsid w:val="004A1219"/>
    <w:rsid w:val="004B4E0F"/>
    <w:rsid w:val="004C4BF8"/>
    <w:rsid w:val="004E5C30"/>
    <w:rsid w:val="00503B3A"/>
    <w:rsid w:val="0051204E"/>
    <w:rsid w:val="005307D9"/>
    <w:rsid w:val="00580528"/>
    <w:rsid w:val="00583131"/>
    <w:rsid w:val="005C35A3"/>
    <w:rsid w:val="00604B80"/>
    <w:rsid w:val="0061011D"/>
    <w:rsid w:val="00623E53"/>
    <w:rsid w:val="00632BC7"/>
    <w:rsid w:val="006865AC"/>
    <w:rsid w:val="006E3822"/>
    <w:rsid w:val="007558B3"/>
    <w:rsid w:val="00765F03"/>
    <w:rsid w:val="007B7482"/>
    <w:rsid w:val="007C0BE8"/>
    <w:rsid w:val="007E533F"/>
    <w:rsid w:val="007F422F"/>
    <w:rsid w:val="00804FCB"/>
    <w:rsid w:val="00822A79"/>
    <w:rsid w:val="008243BB"/>
    <w:rsid w:val="00867D0C"/>
    <w:rsid w:val="008A5B65"/>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F3593"/>
    <w:rsid w:val="00B3659A"/>
    <w:rsid w:val="00B805BC"/>
    <w:rsid w:val="00C350E9"/>
    <w:rsid w:val="00C64897"/>
    <w:rsid w:val="00C65468"/>
    <w:rsid w:val="00C674FC"/>
    <w:rsid w:val="00C82373"/>
    <w:rsid w:val="00CB281D"/>
    <w:rsid w:val="00CC116E"/>
    <w:rsid w:val="00CD6BED"/>
    <w:rsid w:val="00CF1CE3"/>
    <w:rsid w:val="00D0679B"/>
    <w:rsid w:val="00D116C8"/>
    <w:rsid w:val="00D15C96"/>
    <w:rsid w:val="00D173EE"/>
    <w:rsid w:val="00D40E14"/>
    <w:rsid w:val="00D46339"/>
    <w:rsid w:val="00D774F2"/>
    <w:rsid w:val="00D97B5F"/>
    <w:rsid w:val="00DA459A"/>
    <w:rsid w:val="00DD5C39"/>
    <w:rsid w:val="00DE3D09"/>
    <w:rsid w:val="00E564EF"/>
    <w:rsid w:val="00EB03AE"/>
    <w:rsid w:val="00EE66E2"/>
    <w:rsid w:val="00F11291"/>
    <w:rsid w:val="00F26635"/>
    <w:rsid w:val="00F727BD"/>
    <w:rsid w:val="00F82659"/>
    <w:rsid w:val="00FA0F1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Textoindependiente">
    <w:name w:val="Body Text"/>
    <w:basedOn w:val="Normal"/>
    <w:link w:val="TextoindependienteCar"/>
    <w:rsid w:val="00C350E9"/>
    <w:pPr>
      <w:spacing w:after="120"/>
    </w:pPr>
  </w:style>
  <w:style w:type="character" w:customStyle="1" w:styleId="TextoindependienteCar">
    <w:name w:val="Texto independiente Car"/>
    <w:basedOn w:val="Fuentedeprrafopredeter"/>
    <w:link w:val="Textoindependiente"/>
    <w:rsid w:val="00C350E9"/>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Textoindependiente">
    <w:name w:val="Body Text"/>
    <w:basedOn w:val="Normal"/>
    <w:link w:val="TextoindependienteCar"/>
    <w:rsid w:val="00C350E9"/>
    <w:pPr>
      <w:spacing w:after="120"/>
    </w:pPr>
  </w:style>
  <w:style w:type="character" w:customStyle="1" w:styleId="TextoindependienteCar">
    <w:name w:val="Texto independiente Car"/>
    <w:basedOn w:val="Fuentedeprrafopredeter"/>
    <w:link w:val="Textoindependiente"/>
    <w:rsid w:val="00C350E9"/>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DD716-81DD-4F0F-9325-7EC1C236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16</Pages>
  <Words>4648</Words>
  <Characters>25564</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6</cp:revision>
  <dcterms:created xsi:type="dcterms:W3CDTF">2015-07-06T20:50:00Z</dcterms:created>
  <dcterms:modified xsi:type="dcterms:W3CDTF">2015-11-06T22:43:00Z</dcterms:modified>
</cp:coreProperties>
</file>